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jc w:val="center"/>
      </w:pPr>
      <w:r>
        <w:rPr>
          <w:rFonts w:ascii="Aptos" w:hAnsi="Aptos"/>
          <w:b/>
          <w:bCs/>
          <w:sz w:val="36"/>
          <w:szCs w:val="36"/>
        </w:rPr>
        <w:t xml:space="preserve">IDENTIFIKACIJA ASPEKATA OKOLIŠA I</w:t>
      </w:r>
    </w:p>
    <w:p>
      <w:pPr>
        <w:spacing w:after="200"/>
        <w:jc w:val="center"/>
      </w:pPr>
      <w:r>
        <w:rPr>
          <w:rFonts w:ascii="Aptos" w:hAnsi="Aptos"/>
          <w:b/>
          <w:bCs/>
          <w:sz w:val="36"/>
          <w:szCs w:val="36"/>
        </w:rPr>
        <w:t xml:space="preserve">USKLAĐENOST S PROPISIMA</w:t>
      </w:r>
    </w:p>
    <w:p>
      <w:pPr>
        <w:spacing w:after="60"/>
        <w:jc w:val="both"/>
      </w:pPr>
      <w:r>
        <w:rPr>
          <w:rFonts w:ascii="Aptos" w:hAnsi="Aptos"/>
          <w:b/>
          <w:bCs/>
          <w:sz w:val="22"/>
          <w:szCs w:val="22"/>
        </w:rPr>
        <w:t xml:space="preserve">TEHMA d.o.o., Zadar</w:t>
      </w:r>
      <w:r>
        <w:rPr>
          <w:rFonts w:ascii="Aptos" w:hAnsi="Aptos"/>
          <w:sz w:val="22"/>
          <w:szCs w:val="22"/>
        </w:rPr>
        <w:t xml:space="preserve"/>
      </w:r>
    </w:p>
    <w:p>
      <w:pPr>
        <w:spacing w:after="60"/>
        <w:jc w:val="both"/>
      </w:pPr>
      <w:r>
        <w:rPr>
          <w:rFonts w:ascii="Aptos" w:hAnsi="Aptos"/>
          <w:b/>
          <w:bCs/>
          <w:sz w:val="22"/>
          <w:szCs w:val="22"/>
        </w:rPr>
        <w:t xml:space="preserve">Oznaka dokumenta: </w:t>
      </w:r>
      <w:r>
        <w:rPr>
          <w:rFonts w:ascii="Aptos" w:hAnsi="Aptos"/>
          <w:sz w:val="22"/>
          <w:szCs w:val="22"/>
        </w:rPr>
        <w:t xml:space="preserve">PROC-IMS-07</w:t>
      </w:r>
    </w:p>
    <w:p>
      <w:pPr>
        <w:spacing w:after="60"/>
        <w:jc w:val="both"/>
      </w:pPr>
      <w:r>
        <w:rPr>
          <w:rFonts w:ascii="Aptos" w:hAnsi="Aptos"/>
          <w:b/>
          <w:bCs/>
          <w:sz w:val="22"/>
          <w:szCs w:val="22"/>
        </w:rPr>
        <w:t xml:space="preserve">Verzija: </w:t>
      </w:r>
      <w:r>
        <w:rPr>
          <w:rFonts w:ascii="Aptos" w:hAnsi="Aptos"/>
          <w:sz w:val="22"/>
          <w:szCs w:val="22"/>
        </w:rPr>
        <w:t xml:space="preserve">1.1</w:t>
      </w:r>
    </w:p>
    <w:p>
      <w:pPr>
        <w:spacing w:after="60"/>
        <w:jc w:val="both"/>
      </w:pPr>
      <w:r>
        <w:rPr>
          <w:rFonts w:ascii="Aptos" w:hAnsi="Aptos"/>
          <w:b/>
          <w:bCs/>
          <w:sz w:val="22"/>
          <w:szCs w:val="22"/>
        </w:rPr>
        <w:t xml:space="preserve">Datum: </w:t>
      </w:r>
      <w:r>
        <w:rPr>
          <w:rFonts w:ascii="Aptos" w:hAnsi="Aptos"/>
          <w:sz w:val="22"/>
          <w:szCs w:val="22"/>
        </w:rPr>
        <w:t xml:space="preserve">25.09.2026.</w:t>
      </w:r>
    </w:p>
    <w:p>
      <w:pPr>
        <w:spacing w:after="60"/>
        <w:jc w:val="both"/>
      </w:pPr>
      <w:r>
        <w:rPr>
          <w:rFonts w:ascii="Aptos" w:hAnsi="Aptos"/>
          <w:b/>
          <w:bCs/>
          <w:sz w:val="22"/>
          <w:szCs w:val="22"/>
        </w:rPr>
        <w:t xml:space="preserve">Status dokumenta: </w:t>
      </w:r>
      <w:r>
        <w:rPr>
          <w:rFonts w:ascii="Aptos" w:hAnsi="Aptos"/>
          <w:sz w:val="22"/>
          <w:szCs w:val="22"/>
        </w:rPr>
        <w:t xml:space="preserve">Kontrolirani dokument</w:t>
      </w:r>
    </w:p>
    <w:p>
      <w:pPr>
        <w:spacing w:after="60"/>
        <w:jc w:val="both"/>
      </w:pPr>
      <w:r>
        <w:rPr>
          <w:rFonts w:ascii="Aptos" w:hAnsi="Aptos"/>
          <w:b/>
          <w:bCs/>
          <w:sz w:val="22"/>
          <w:szCs w:val="22"/>
        </w:rPr>
        <w:t xml:space="preserve">Vlasnik dokumenta: </w:t>
      </w:r>
      <w:r>
        <w:rPr>
          <w:rFonts w:ascii="Aptos" w:hAnsi="Aptos"/>
          <w:sz w:val="22"/>
          <w:szCs w:val="22"/>
        </w:rPr>
        <w:t xml:space="preserve">MR / HSE referent</w:t>
      </w:r>
    </w:p>
    <w:p>
      <w:pPr>
        <w:spacing w:after="60"/>
        <w:jc w:val="both"/>
      </w:pPr>
      <w:r>
        <w:rPr>
          <w:rFonts w:ascii="Aptos" w:hAnsi="Aptos"/>
          <w:b/>
          <w:bCs/>
          <w:sz w:val="22"/>
          <w:szCs w:val="22"/>
        </w:rPr>
        <w:t xml:space="preserve">Odobrio: </w:t>
      </w:r>
      <w:r>
        <w:rPr>
          <w:rFonts w:ascii="Aptos" w:hAnsi="Aptos"/>
          <w:sz w:val="22"/>
          <w:szCs w:val="22"/>
        </w:rPr>
        <w:t xml:space="preserve">Direktor</w:t>
      </w:r>
    </w:p>
    <w:p>
      <w:pPr>
        <w:keepNext/>
        <w:spacing w:after="60" w:before="160"/>
        <w:jc w:val="both"/>
      </w:pPr>
      <w:r>
        <w:rPr>
          <w:rFonts w:ascii="Aptos" w:hAnsi="Aptos"/>
          <w:b/>
          <w:bCs/>
          <w:sz w:val="22"/>
          <w:szCs w:val="22"/>
        </w:rPr>
        <w:t xml:space="preserve">Povijest izmjena</w:t>
      </w:r>
    </w:p>
    <w:tbl>
      <w:tblPr>
        <w:tblStyle w:val="GridTable3-Accent2"/>
        <w:tblW w:w="9100" w:type="dxa"/>
        <w:tblLayout w:type="fixed"/>
        <w:tblLook w:firstColumn="0" w:firstRow="1" w:lastColumn="0" w:lastRow="0" w:noHBand="0" w:noVBand="1" w:val="04A0"/>
      </w:tblPr>
      <w:tblGrid>
        <w:gridCol w:w="800"/>
        <w:gridCol w:w="1100"/>
        <w:gridCol w:w="5300"/>
        <w:gridCol w:w="900"/>
        <w:gridCol w:w="1000"/>
      </w:tblGrid>
      <w:tr>
        <w:trPr>
          <w:cantSplit/>
          <w:tblHeader/>
        </w:trPr>
        <w:tc>
          <w:tcPr>
            <w:tcW w:type="dxa" w:w="800"/>
          </w:tcPr>
          <w:p>
            <w:pPr>
              <w:spacing w:after="0"/>
              <w:jc w:val="left"/>
            </w:pPr>
            <w:r>
              <w:rPr>
                <w:rFonts w:ascii="Aptos" w:hAnsi="Aptos"/>
                <w:b/>
                <w:bCs/>
                <w:sz w:val="18"/>
                <w:szCs w:val="18"/>
              </w:rPr>
              <w:t xml:space="preserve">Verzija</w:t>
            </w:r>
          </w:p>
        </w:tc>
        <w:tc>
          <w:tcPr>
            <w:tcW w:type="dxa" w:w="1100"/>
          </w:tcPr>
          <w:p>
            <w:pPr>
              <w:spacing w:after="0"/>
              <w:jc w:val="left"/>
            </w:pPr>
            <w:r>
              <w:rPr>
                <w:rFonts w:ascii="Aptos" w:hAnsi="Aptos"/>
                <w:b/>
                <w:bCs/>
                <w:sz w:val="18"/>
                <w:szCs w:val="18"/>
              </w:rPr>
              <w:t xml:space="preserve">Datum</w:t>
            </w:r>
          </w:p>
        </w:tc>
        <w:tc>
          <w:tcPr>
            <w:tcW w:type="dxa" w:w="5300"/>
          </w:tcPr>
          <w:p>
            <w:pPr>
              <w:spacing w:after="0"/>
              <w:jc w:val="left"/>
            </w:pPr>
            <w:r>
              <w:rPr>
                <w:rFonts w:ascii="Aptos" w:hAnsi="Aptos"/>
                <w:b/>
                <w:bCs/>
                <w:sz w:val="18"/>
                <w:szCs w:val="18"/>
              </w:rPr>
              <w:t xml:space="preserve">Opis izmjene</w:t>
            </w:r>
          </w:p>
        </w:tc>
        <w:tc>
          <w:tcPr>
            <w:tcW w:type="dxa" w:w="900"/>
          </w:tcPr>
          <w:p>
            <w:pPr>
              <w:spacing w:after="0"/>
              <w:jc w:val="left"/>
            </w:pPr>
            <w:r>
              <w:rPr>
                <w:rFonts w:ascii="Aptos" w:hAnsi="Aptos"/>
                <w:b/>
                <w:bCs/>
                <w:sz w:val="18"/>
                <w:szCs w:val="18"/>
              </w:rPr>
              <w:t xml:space="preserve">Izradio</w:t>
            </w:r>
          </w:p>
        </w:tc>
        <w:tc>
          <w:tcPr>
            <w:tcW w:type="dxa" w:w="1000"/>
          </w:tcPr>
          <w:p>
            <w:pPr>
              <w:spacing w:after="0"/>
              <w:jc w:val="left"/>
            </w:pPr>
            <w:r>
              <w:rPr>
                <w:rFonts w:ascii="Aptos" w:hAnsi="Aptos"/>
                <w:b/>
                <w:bCs/>
                <w:sz w:val="18"/>
                <w:szCs w:val="18"/>
              </w:rPr>
              <w:t xml:space="preserve">Odobrio</w:t>
            </w:r>
          </w:p>
        </w:tc>
      </w:tr>
      <w:tr>
        <w:trPr>
          <w:cantSplit/>
        </w:trPr>
        <w:tc>
          <w:tcPr>
            <w:tcW w:type="dxa" w:w="800"/>
          </w:tcPr>
          <w:p>
            <w:pPr>
              <w:spacing w:after="0"/>
              <w:jc w:val="left"/>
            </w:pPr>
            <w:r>
              <w:rPr>
                <w:rFonts w:ascii="Aptos" w:hAnsi="Aptos"/>
                <w:sz w:val="18"/>
                <w:szCs w:val="18"/>
              </w:rPr>
              <w:t xml:space="preserve">1.0</w:t>
            </w:r>
          </w:p>
        </w:tc>
        <w:tc>
          <w:tcPr>
            <w:tcW w:type="dxa" w:w="1100"/>
          </w:tcPr>
          <w:p>
            <w:pPr>
              <w:spacing w:after="0"/>
              <w:jc w:val="left"/>
            </w:pPr>
            <w:r>
              <w:rPr>
                <w:rFonts w:ascii="Aptos" w:hAnsi="Aptos"/>
                <w:sz w:val="18"/>
                <w:szCs w:val="18"/>
              </w:rPr>
              <w:t xml:space="preserve">10.11.2025.</w:t>
            </w:r>
          </w:p>
        </w:tc>
        <w:tc>
          <w:tcPr>
            <w:tcW w:type="dxa" w:w="5300"/>
          </w:tcPr>
          <w:p>
            <w:pPr>
              <w:spacing w:after="0"/>
              <w:jc w:val="left"/>
            </w:pPr>
            <w:r>
              <w:rPr>
                <w:rFonts w:ascii="Aptos" w:hAnsi="Aptos"/>
                <w:sz w:val="18"/>
                <w:szCs w:val="18"/>
              </w:rPr>
              <w:t xml:space="preserve">Prvo izdanje postupka.</w:t>
            </w:r>
          </w:p>
        </w:tc>
        <w:tc>
          <w:tcPr>
            <w:tcW w:type="dxa" w:w="900"/>
          </w:tcPr>
          <w:p>
            <w:pPr>
              <w:spacing w:after="0"/>
              <w:jc w:val="left"/>
            </w:pPr>
            <w:r>
              <w:rPr>
                <w:rFonts w:ascii="Aptos" w:hAnsi="Aptos"/>
                <w:sz w:val="18"/>
                <w:szCs w:val="18"/>
              </w:rPr>
              <w:t xml:space="preserve">MR</w:t>
            </w:r>
          </w:p>
        </w:tc>
        <w:tc>
          <w:tcPr>
            <w:tcW w:type="dxa" w:w="1000"/>
          </w:tcPr>
          <w:p>
            <w:pPr>
              <w:spacing w:after="0"/>
              <w:jc w:val="left"/>
            </w:pPr>
            <w:r>
              <w:rPr>
                <w:rFonts w:ascii="Aptos" w:hAnsi="Aptos"/>
                <w:sz w:val="18"/>
                <w:szCs w:val="18"/>
              </w:rPr>
              <w:t xml:space="preserve">Direktor</w:t>
            </w:r>
          </w:p>
        </w:tc>
      </w:tr>
      <w:tr>
        <w:trPr>
          <w:cantSplit/>
        </w:trPr>
        <w:tc>
          <w:tcPr>
            <w:tcW w:type="dxa" w:w="800"/>
          </w:tcPr>
          <w:p>
            <w:pPr>
              <w:spacing w:after="0"/>
              <w:jc w:val="left"/>
            </w:pPr>
            <w:r>
              <w:rPr>
                <w:rFonts w:ascii="Aptos" w:hAnsi="Aptos"/>
                <w:sz w:val="18"/>
                <w:szCs w:val="18"/>
              </w:rPr>
              <w:t xml:space="preserve">1.1</w:t>
            </w:r>
          </w:p>
        </w:tc>
        <w:tc>
          <w:tcPr>
            <w:tcW w:type="dxa" w:w="1100"/>
          </w:tcPr>
          <w:p>
            <w:pPr>
              <w:spacing w:after="0"/>
              <w:jc w:val="left"/>
            </w:pPr>
            <w:r>
              <w:rPr>
                <w:rFonts w:ascii="Aptos" w:hAnsi="Aptos"/>
                <w:sz w:val="18"/>
                <w:szCs w:val="18"/>
              </w:rPr>
              <w:t xml:space="preserve">25.09.2026.</w:t>
            </w:r>
          </w:p>
        </w:tc>
        <w:tc>
          <w:tcPr>
            <w:tcW w:type="dxa" w:w="5300"/>
          </w:tcPr>
          <w:p>
            <w:pPr>
              <w:spacing w:after="0"/>
              <w:jc w:val="left"/>
            </w:pPr>
            <w:r>
              <w:rPr>
                <w:rFonts w:ascii="Aptos" w:hAnsi="Aptos"/>
                <w:sz w:val="18"/>
                <w:szCs w:val="18"/>
              </w:rPr>
              <w:t xml:space="preserve">Određeno da je AO-IMS-01 jedina mjerodavna matrica aspekata; list REG-AO i IMS-RISK-ENV povučeni kao zastarjeli (zapažanje DNV RENRAJ-0004).</w:t>
            </w:r>
          </w:p>
          <w:p>
            <w:pPr>
              <w:spacing w:after="0"/>
              <w:jc w:val="left"/>
            </w:pPr>
            <w:r>
              <w:rPr>
                <w:rFonts w:ascii="Aptos" w:hAnsi="Aptos"/>
                <w:sz w:val="18"/>
                <w:szCs w:val="18"/>
              </w:rPr>
              <w:t xml:space="preserve">Ujednačena metodologija: za svaku aktivnost aspekt, utjecaj i uvjeti nastanka (R, I, IS); kriteriji V i P s ljestvicama; Z = V x P; prag značajnosti 10 i dodatna pravila; obvezno obrazloženje za svaki značajan aspekt.</w:t>
            </w:r>
          </w:p>
          <w:p>
            <w:pPr>
              <w:spacing w:after="0"/>
              <w:jc w:val="left"/>
            </w:pPr>
            <w:r>
              <w:rPr>
                <w:rFonts w:ascii="Aptos" w:hAnsi="Aptos"/>
                <w:sz w:val="18"/>
                <w:szCs w:val="18"/>
              </w:rPr>
              <w:t xml:space="preserve">Određeni povodi i rokovi preispitivanja matrice; provjera usklađenosti matrice aspekata, registra rizika i registra zakonskih zahtjeva u internom auditu.</w:t>
            </w:r>
          </w:p>
          <w:p>
            <w:pPr>
              <w:spacing w:after="0"/>
              <w:jc w:val="left"/>
            </w:pPr>
            <w:r>
              <w:rPr>
                <w:rFonts w:ascii="Aptos" w:hAnsi="Aptos"/>
                <w:sz w:val="18"/>
                <w:szCs w:val="18"/>
              </w:rPr>
              <w:t xml:space="preserve">Preispitivanje registra zakonskih zahtjeva (FRM-IMS-08) dodijeljeno MR-u, najmanje dvaput godišnje i pri saznanju o izmjeni propisa, uz upis datuma zadnje provjere po propisu; ocjena usklađenosti obvezan je ulaz upravine ocjene (zapažanje DNV RENRAJ-0009).</w:t>
            </w:r>
          </w:p>
          <w:p>
            <w:pPr>
              <w:spacing w:after="0"/>
              <w:jc w:val="left"/>
            </w:pPr>
            <w:r>
              <w:rPr>
                <w:rFonts w:ascii="Aptos" w:hAnsi="Aptos"/>
                <w:sz w:val="18"/>
                <w:szCs w:val="18"/>
              </w:rPr>
              <w:t xml:space="preserve">Zamijenjena zastarjela referenca: Zakon o održivom gospodarenju otpadom zamijenjen važećim Zakonom o gospodarenju otpadom.</w:t>
            </w:r>
          </w:p>
        </w:tc>
        <w:tc>
          <w:tcPr>
            <w:tcW w:type="dxa" w:w="900"/>
          </w:tcPr>
          <w:p>
            <w:pPr>
              <w:spacing w:after="0"/>
              <w:jc w:val="left"/>
            </w:pPr>
            <w:r>
              <w:rPr>
                <w:rFonts w:ascii="Aptos" w:hAnsi="Aptos"/>
                <w:sz w:val="18"/>
                <w:szCs w:val="18"/>
              </w:rPr>
              <w:t xml:space="preserve">MR</w:t>
            </w:r>
          </w:p>
        </w:tc>
        <w:tc>
          <w:tcPr>
            <w:tcW w:type="dxa" w:w="1000"/>
          </w:tcPr>
          <w:p>
            <w:pPr>
              <w:spacing w:after="0"/>
              <w:jc w:val="left"/>
            </w:pPr>
            <w:r>
              <w:rPr>
                <w:rFonts w:ascii="Aptos" w:hAnsi="Aptos"/>
                <w:sz w:val="18"/>
                <w:szCs w:val="18"/>
              </w:rPr>
              <w:t xml:space="preserve">Direktor</w:t>
            </w:r>
          </w:p>
        </w:tc>
      </w:tr>
    </w:tbl>
    <w:p>
      <w:pPr>
        <w:pStyle w:val="Heading1"/>
      </w:pPr>
      <w:r>
        <w:t xml:space="preserve">SVRHA</w:t>
      </w:r>
    </w:p>
    <w:p>
      <w:pPr>
        <w:spacing w:after="60"/>
        <w:jc w:val="both"/>
      </w:pPr>
      <w:r>
        <w:rPr>
          <w:rFonts w:ascii="Aptos" w:hAnsi="Aptos"/>
          <w:sz w:val="22"/>
          <w:szCs w:val="22"/>
        </w:rPr>
        <w:t xml:space="preserve">Ovaj postupak definira način identifikacije, vrednovanja i nadzora </w:t>
      </w:r>
      <w:r>
        <w:rPr>
          <w:rFonts w:ascii="Aptos" w:hAnsi="Aptos"/>
          <w:b/>
          <w:bCs/>
          <w:sz w:val="22"/>
          <w:szCs w:val="22"/>
        </w:rPr>
        <w:t xml:space="preserve">aspekata okoliša</w:t>
      </w:r>
      <w:r>
        <w:rPr>
          <w:rFonts w:ascii="Aptos" w:hAnsi="Aptos"/>
          <w:sz w:val="22"/>
          <w:szCs w:val="22"/>
        </w:rPr>
        <w:t xml:space="preserve"> te način kako TEHMA d.o.o. utvrđuje, prati i dokazuje </w:t>
      </w:r>
      <w:r>
        <w:rPr>
          <w:rFonts w:ascii="Aptos" w:hAnsi="Aptos"/>
          <w:b/>
          <w:bCs/>
          <w:sz w:val="22"/>
          <w:szCs w:val="22"/>
        </w:rPr>
        <w:t xml:space="preserve">usklađenost sa zakonskim i drugim zahtjevima</w:t>
      </w:r>
      <w:r>
        <w:rPr>
          <w:rFonts w:ascii="Aptos" w:hAnsi="Aptos"/>
          <w:sz w:val="22"/>
          <w:szCs w:val="22"/>
        </w:rPr>
        <w:t xml:space="preserve">, u skladu s normom ISO 14001:2015 (t. 6.1.2, 6.1.3 i 9.1.2).</w:t>
      </w:r>
    </w:p>
    <w:p>
      <w:pPr>
        <w:spacing w:after="60"/>
        <w:jc w:val="both"/>
      </w:pPr>
      <w:r>
        <w:rPr>
          <w:rFonts w:ascii="Aptos" w:hAnsi="Aptos"/>
          <w:sz w:val="22"/>
          <w:szCs w:val="22"/>
        </w:rPr>
        <w:t xml:space="preserve">Cilj je:</w:t>
      </w:r>
    </w:p>
    <w:p>
      <w:pPr>
        <w:numPr>
          <w:ilvl w:val="0"/>
          <w:numId w:val="15"/>
        </w:numPr>
        <w:spacing w:after="60"/>
        <w:jc w:val="both"/>
      </w:pPr>
      <w:r>
        <w:rPr>
          <w:rFonts w:ascii="Aptos" w:hAnsi="Aptos"/>
          <w:sz w:val="22"/>
          <w:szCs w:val="22"/>
        </w:rPr>
        <w:t xml:space="preserve">identificirati aktivnosti koje mogu utjecati na okoliš, u redovnim i izvanrednim uvjetima te u izvanrednim situacijama,</w:t>
      </w:r>
    </w:p>
    <w:p>
      <w:pPr>
        <w:numPr>
          <w:ilvl w:val="0"/>
          <w:numId w:val="15"/>
        </w:numPr>
        <w:spacing w:after="60"/>
        <w:jc w:val="both"/>
      </w:pPr>
      <w:r>
        <w:rPr>
          <w:rFonts w:ascii="Aptos" w:hAnsi="Aptos"/>
          <w:sz w:val="22"/>
          <w:szCs w:val="22"/>
        </w:rPr>
        <w:t xml:space="preserve">jednoznačnim kriterijem odrediti značajne aspekte i potrebne mjere kontrole,</w:t>
      </w:r>
    </w:p>
    <w:p>
      <w:pPr>
        <w:numPr>
          <w:ilvl w:val="0"/>
          <w:numId w:val="15"/>
        </w:numPr>
        <w:spacing w:after="60"/>
        <w:jc w:val="both"/>
      </w:pPr>
      <w:r>
        <w:rPr>
          <w:rFonts w:ascii="Aptos" w:hAnsi="Aptos"/>
          <w:sz w:val="22"/>
          <w:szCs w:val="22"/>
        </w:rPr>
        <w:t xml:space="preserve">osigurati praćenje i periodičnu provjeru zakonskih i drugih obveza,</w:t>
      </w:r>
    </w:p>
    <w:p>
      <w:pPr>
        <w:numPr>
          <w:ilvl w:val="0"/>
          <w:numId w:val="15"/>
        </w:numPr>
        <w:spacing w:after="60"/>
        <w:jc w:val="both"/>
      </w:pPr>
      <w:r>
        <w:rPr>
          <w:rFonts w:ascii="Aptos" w:hAnsi="Aptos"/>
          <w:sz w:val="22"/>
          <w:szCs w:val="22"/>
        </w:rPr>
        <w:t xml:space="preserve">smanjiti rizik od okolišnih incidenata na gradilištima.</w:t>
      </w:r>
    </w:p>
    <w:p>
      <w:pPr>
        <w:pStyle w:val="Heading1"/>
      </w:pPr>
      <w:r>
        <w:t xml:space="preserve">PODRUČJE PRIMJENE</w:t>
      </w:r>
    </w:p>
    <w:p>
      <w:pPr>
        <w:spacing w:after="60"/>
        <w:jc w:val="both"/>
      </w:pPr>
      <w:r>
        <w:rPr>
          <w:rFonts w:ascii="Aptos" w:hAnsi="Aptos"/>
          <w:sz w:val="22"/>
          <w:szCs w:val="22"/>
        </w:rPr>
        <w:t xml:space="preserve">Primjenjuje se na:</w:t>
      </w:r>
    </w:p>
    <w:p>
      <w:pPr>
        <w:numPr>
          <w:ilvl w:val="0"/>
          <w:numId w:val="15"/>
        </w:numPr>
        <w:spacing w:after="60"/>
        <w:jc w:val="both"/>
      </w:pPr>
      <w:r>
        <w:rPr>
          <w:rFonts w:ascii="Aptos" w:hAnsi="Aptos"/>
          <w:b/>
          <w:bCs/>
          <w:sz w:val="22"/>
          <w:szCs w:val="22"/>
        </w:rPr>
        <w:t xml:space="preserve">sva aktivna gradilišta</w:t>
      </w:r>
      <w:r>
        <w:rPr>
          <w:rFonts w:ascii="Aptos" w:hAnsi="Aptos"/>
          <w:sz w:val="22"/>
          <w:szCs w:val="22"/>
        </w:rPr>
        <w:t xml:space="preserve"> (niskogradnja, visokogradnja, završni radovi, podmorski radovi i radovi uz more, uređenje okoliša),</w:t>
      </w:r>
    </w:p>
    <w:p>
      <w:pPr>
        <w:numPr>
          <w:ilvl w:val="0"/>
          <w:numId w:val="15"/>
        </w:numPr>
        <w:spacing w:after="60"/>
        <w:jc w:val="both"/>
      </w:pPr>
      <w:r>
        <w:rPr>
          <w:rFonts w:ascii="Aptos" w:hAnsi="Aptos"/>
          <w:sz w:val="22"/>
          <w:szCs w:val="22"/>
        </w:rPr>
        <w:t xml:space="preserve">urede i skladišta,</w:t>
      </w:r>
    </w:p>
    <w:p>
      <w:pPr>
        <w:numPr>
          <w:ilvl w:val="0"/>
          <w:numId w:val="15"/>
        </w:numPr>
        <w:spacing w:after="60"/>
        <w:jc w:val="both"/>
      </w:pPr>
      <w:r>
        <w:rPr>
          <w:rFonts w:ascii="Aptos" w:hAnsi="Aptos"/>
          <w:sz w:val="22"/>
          <w:szCs w:val="22"/>
        </w:rPr>
        <w:t xml:space="preserve">aktivnosti podizvođača,</w:t>
      </w:r>
    </w:p>
    <w:p>
      <w:pPr>
        <w:numPr>
          <w:ilvl w:val="0"/>
          <w:numId w:val="15"/>
        </w:numPr>
        <w:spacing w:after="60"/>
        <w:jc w:val="both"/>
      </w:pPr>
      <w:r>
        <w:rPr>
          <w:rFonts w:ascii="Aptos" w:hAnsi="Aptos"/>
          <w:sz w:val="22"/>
          <w:szCs w:val="22"/>
        </w:rPr>
        <w:t xml:space="preserve">nabavu i logistiku,</w:t>
      </w:r>
    </w:p>
    <w:p>
      <w:pPr>
        <w:numPr>
          <w:ilvl w:val="0"/>
          <w:numId w:val="15"/>
        </w:numPr>
        <w:spacing w:after="60"/>
        <w:jc w:val="both"/>
      </w:pPr>
      <w:r>
        <w:rPr>
          <w:rFonts w:ascii="Aptos" w:hAnsi="Aptos"/>
          <w:sz w:val="22"/>
          <w:szCs w:val="22"/>
        </w:rPr>
        <w:t xml:space="preserve">gospodarenje otpadom,</w:t>
      </w:r>
    </w:p>
    <w:p>
      <w:pPr>
        <w:numPr>
          <w:ilvl w:val="0"/>
          <w:numId w:val="15"/>
        </w:numPr>
        <w:spacing w:after="60"/>
        <w:jc w:val="both"/>
      </w:pPr>
      <w:r>
        <w:rPr>
          <w:rFonts w:ascii="Aptos" w:hAnsi="Aptos"/>
          <w:sz w:val="22"/>
          <w:szCs w:val="22"/>
        </w:rPr>
        <w:t xml:space="preserve">korištenje strojeva, plovila i vozila.</w:t>
      </w:r>
    </w:p>
    <w:p>
      <w:pPr>
        <w:pStyle w:val="Heading1"/>
      </w:pPr>
      <w:r>
        <w:t xml:space="preserve">POJMOVI</w:t>
      </w:r>
    </w:p>
    <w:tbl>
      <w:tblPr>
        <w:tblStyle w:val="GridTable3-Accent2"/>
        <w:tblW w:w="9600" w:type="dxa"/>
        <w:tblLayout w:type="fixed"/>
        <w:tblLook w:firstColumn="0" w:firstRow="1" w:lastColumn="0" w:lastRow="0" w:noHBand="0" w:noVBand="1" w:val="04A0"/>
      </w:tblPr>
      <w:tblGrid>
        <w:gridCol w:w="2300"/>
        <w:gridCol w:w="7300"/>
      </w:tblGrid>
      <w:tr>
        <w:trPr>
          <w:cantSplit/>
          <w:tblHeader/>
        </w:trPr>
        <w:tc>
          <w:tcPr>
            <w:tcW w:type="dxa" w:w="2300"/>
          </w:tcPr>
          <w:p>
            <w:pPr>
              <w:spacing w:after="0"/>
              <w:jc w:val="left"/>
            </w:pPr>
            <w:r>
              <w:rPr>
                <w:rFonts w:ascii="Aptos" w:hAnsi="Aptos"/>
                <w:b/>
                <w:bCs/>
                <w:sz w:val="18"/>
                <w:szCs w:val="18"/>
              </w:rPr>
              <w:t xml:space="preserve">Pojam</w:t>
            </w:r>
          </w:p>
        </w:tc>
        <w:tc>
          <w:tcPr>
            <w:tcW w:type="dxa" w:w="7300"/>
          </w:tcPr>
          <w:p>
            <w:pPr>
              <w:spacing w:after="0"/>
              <w:jc w:val="left"/>
            </w:pPr>
            <w:r>
              <w:rPr>
                <w:rFonts w:ascii="Aptos" w:hAnsi="Aptos"/>
                <w:b/>
                <w:bCs/>
                <w:sz w:val="18"/>
                <w:szCs w:val="18"/>
              </w:rPr>
              <w:t xml:space="preserve">Značenje u ovom postupku</w:t>
            </w:r>
          </w:p>
        </w:tc>
      </w:tr>
      <w:tr>
        <w:trPr>
          <w:cantSplit/>
        </w:trPr>
        <w:tc>
          <w:tcPr>
            <w:tcW w:type="dxa" w:w="2300"/>
          </w:tcPr>
          <w:p>
            <w:pPr>
              <w:spacing w:after="0"/>
              <w:jc w:val="left"/>
            </w:pPr>
            <w:r>
              <w:rPr>
                <w:rFonts w:ascii="Aptos" w:hAnsi="Aptos"/>
                <w:sz w:val="18"/>
                <w:szCs w:val="18"/>
              </w:rPr>
              <w:t xml:space="preserve">Aspekt okoliša</w:t>
            </w:r>
          </w:p>
        </w:tc>
        <w:tc>
          <w:tcPr>
            <w:tcW w:type="dxa" w:w="7300"/>
          </w:tcPr>
          <w:p>
            <w:pPr>
              <w:spacing w:after="0"/>
              <w:jc w:val="left"/>
            </w:pPr>
            <w:r>
              <w:rPr>
                <w:rFonts w:ascii="Aptos" w:hAnsi="Aptos"/>
                <w:sz w:val="18"/>
                <w:szCs w:val="18"/>
              </w:rPr>
              <w:t xml:space="preserve">Element aktivnosti TEHMA-e koji djeluje ili može djelovati na okoliš (npr. buka, prašina, otpad, izlijevanje goriva).</w:t>
            </w:r>
          </w:p>
        </w:tc>
      </w:tr>
      <w:tr>
        <w:trPr>
          <w:cantSplit/>
        </w:trPr>
        <w:tc>
          <w:tcPr>
            <w:tcW w:type="dxa" w:w="2300"/>
          </w:tcPr>
          <w:p>
            <w:pPr>
              <w:spacing w:after="0"/>
              <w:jc w:val="left"/>
            </w:pPr>
            <w:r>
              <w:rPr>
                <w:rFonts w:ascii="Aptos" w:hAnsi="Aptos"/>
                <w:sz w:val="18"/>
                <w:szCs w:val="18"/>
              </w:rPr>
              <w:t xml:space="preserve">Utjecaj na okoliš</w:t>
            </w:r>
          </w:p>
        </w:tc>
        <w:tc>
          <w:tcPr>
            <w:tcW w:type="dxa" w:w="7300"/>
          </w:tcPr>
          <w:p>
            <w:pPr>
              <w:spacing w:after="0"/>
              <w:jc w:val="left"/>
            </w:pPr>
            <w:r>
              <w:rPr>
                <w:rFonts w:ascii="Aptos" w:hAnsi="Aptos"/>
                <w:sz w:val="18"/>
                <w:szCs w:val="18"/>
              </w:rPr>
              <w:t xml:space="preserve">Promjena u okolišu koja nastaje kao posljedica aspekta (npr. onečišćenje tla, uznemiravanje stanovnika).</w:t>
            </w:r>
          </w:p>
        </w:tc>
      </w:tr>
      <w:tr>
        <w:trPr>
          <w:cantSplit/>
        </w:trPr>
        <w:tc>
          <w:tcPr>
            <w:tcW w:type="dxa" w:w="2300"/>
          </w:tcPr>
          <w:p>
            <w:pPr>
              <w:spacing w:after="0"/>
              <w:jc w:val="left"/>
            </w:pPr>
            <w:r>
              <w:rPr>
                <w:rFonts w:ascii="Aptos" w:hAnsi="Aptos"/>
                <w:sz w:val="18"/>
                <w:szCs w:val="18"/>
              </w:rPr>
              <w:t xml:space="preserve">Uvjeti nastanka</w:t>
            </w:r>
          </w:p>
        </w:tc>
        <w:tc>
          <w:tcPr>
            <w:tcW w:type="dxa" w:w="7300"/>
          </w:tcPr>
          <w:p>
            <w:pPr>
              <w:spacing w:after="0"/>
              <w:jc w:val="left"/>
            </w:pPr>
            <w:r>
              <w:rPr>
                <w:rFonts w:ascii="Aptos" w:hAnsi="Aptos"/>
                <w:sz w:val="18"/>
                <w:szCs w:val="18"/>
              </w:rPr>
              <w:t xml:space="preserve">R - redovni uvjeti rada; I - izvanredni uvjeti (pokretanje i zaustavljanje, održavanje, kvar, nepovoljni vremenski uvjeti); IS - izvanredna situacija (izlijevanje, požar, nezgoda).</w:t>
            </w:r>
          </w:p>
        </w:tc>
      </w:tr>
      <w:tr>
        <w:trPr>
          <w:cantSplit/>
        </w:trPr>
        <w:tc>
          <w:tcPr>
            <w:tcW w:type="dxa" w:w="2300"/>
          </w:tcPr>
          <w:p>
            <w:pPr>
              <w:spacing w:after="0"/>
              <w:jc w:val="left"/>
            </w:pPr>
            <w:r>
              <w:rPr>
                <w:rFonts w:ascii="Aptos" w:hAnsi="Aptos"/>
                <w:sz w:val="18"/>
                <w:szCs w:val="18"/>
              </w:rPr>
              <w:t xml:space="preserve">Značajan aspekt</w:t>
            </w:r>
          </w:p>
        </w:tc>
        <w:tc>
          <w:tcPr>
            <w:tcW w:type="dxa" w:w="7300"/>
          </w:tcPr>
          <w:p>
            <w:pPr>
              <w:spacing w:after="0"/>
              <w:jc w:val="left"/>
            </w:pPr>
            <w:r>
              <w:rPr>
                <w:rFonts w:ascii="Aptos" w:hAnsi="Aptos"/>
                <w:sz w:val="18"/>
                <w:szCs w:val="18"/>
              </w:rPr>
              <w:t xml:space="preserve">Aspekt koji prema kriterijima iz točke 5.5 ima ili može imati značajan utjecaj na okoliš.</w:t>
            </w:r>
          </w:p>
        </w:tc>
      </w:tr>
      <w:tr>
        <w:trPr>
          <w:cantSplit/>
        </w:trPr>
        <w:tc>
          <w:tcPr>
            <w:tcW w:type="dxa" w:w="2300"/>
          </w:tcPr>
          <w:p>
            <w:pPr>
              <w:spacing w:after="0"/>
              <w:jc w:val="left"/>
            </w:pPr>
            <w:r>
              <w:rPr>
                <w:rFonts w:ascii="Aptos" w:hAnsi="Aptos"/>
                <w:sz w:val="18"/>
                <w:szCs w:val="18"/>
              </w:rPr>
              <w:t xml:space="preserve">Obveze usklađenosti</w:t>
            </w:r>
          </w:p>
        </w:tc>
        <w:tc>
          <w:tcPr>
            <w:tcW w:type="dxa" w:w="7300"/>
          </w:tcPr>
          <w:p>
            <w:pPr>
              <w:spacing w:after="0"/>
              <w:jc w:val="left"/>
            </w:pPr>
            <w:r>
              <w:rPr>
                <w:rFonts w:ascii="Aptos" w:hAnsi="Aptos"/>
                <w:sz w:val="18"/>
                <w:szCs w:val="18"/>
              </w:rPr>
              <w:t xml:space="preserve">Zakonski zahtjevi i drugi zahtjevi koje TEHMA mora ili odluči ispuniti (uvjeti investitora, akti za građenje, ugovori).</w:t>
            </w:r>
          </w:p>
        </w:tc>
      </w:tr>
      <w:tr>
        <w:trPr>
          <w:cantSplit/>
        </w:trPr>
        <w:tc>
          <w:tcPr>
            <w:tcW w:type="dxa" w:w="2300"/>
          </w:tcPr>
          <w:p>
            <w:pPr>
              <w:spacing w:after="0"/>
              <w:jc w:val="left"/>
            </w:pPr>
            <w:r>
              <w:rPr>
                <w:rFonts w:ascii="Aptos" w:hAnsi="Aptos"/>
                <w:sz w:val="18"/>
                <w:szCs w:val="18"/>
              </w:rPr>
              <w:t xml:space="preserve">AO-IMS-01</w:t>
            </w:r>
          </w:p>
        </w:tc>
        <w:tc>
          <w:tcPr>
            <w:tcW w:type="dxa" w:w="7300"/>
          </w:tcPr>
          <w:p>
            <w:pPr>
              <w:spacing w:after="0"/>
              <w:jc w:val="left"/>
            </w:pPr>
            <w:r>
              <w:rPr>
                <w:rFonts w:ascii="Aptos" w:hAnsi="Aptos"/>
                <w:sz w:val="18"/>
                <w:szCs w:val="18"/>
              </w:rPr>
              <w:t xml:space="preserve">Matrica aspekata i rizika okoliša, jedina mjerodavna evidencija aspekata.</w:t>
            </w:r>
          </w:p>
        </w:tc>
      </w:tr>
      <w:tr>
        <w:trPr>
          <w:cantSplit/>
        </w:trPr>
        <w:tc>
          <w:tcPr>
            <w:tcW w:type="dxa" w:w="2300"/>
          </w:tcPr>
          <w:p>
            <w:pPr>
              <w:spacing w:after="0"/>
              <w:jc w:val="left"/>
            </w:pPr>
            <w:r>
              <w:rPr>
                <w:rFonts w:ascii="Aptos" w:hAnsi="Aptos"/>
                <w:sz w:val="18"/>
                <w:szCs w:val="18"/>
              </w:rPr>
              <w:t xml:space="preserve">RZZ (FRM-IMS-08)</w:t>
            </w:r>
          </w:p>
        </w:tc>
        <w:tc>
          <w:tcPr>
            <w:tcW w:type="dxa" w:w="7300"/>
          </w:tcPr>
          <w:p>
            <w:pPr>
              <w:spacing w:after="0"/>
              <w:jc w:val="left"/>
            </w:pPr>
            <w:r>
              <w:rPr>
                <w:rFonts w:ascii="Aptos" w:hAnsi="Aptos"/>
                <w:sz w:val="18"/>
                <w:szCs w:val="18"/>
              </w:rPr>
              <w:t xml:space="preserve">Registar zakonskih zahtjeva.</w:t>
            </w:r>
          </w:p>
        </w:tc>
      </w:tr>
      <w:tr>
        <w:trPr>
          <w:cantSplit/>
        </w:trPr>
        <w:tc>
          <w:tcPr>
            <w:tcW w:type="dxa" w:w="2300"/>
          </w:tcPr>
          <w:p>
            <w:pPr>
              <w:spacing w:after="0"/>
              <w:jc w:val="left"/>
            </w:pPr>
            <w:r>
              <w:rPr>
                <w:rFonts w:ascii="Aptos" w:hAnsi="Aptos"/>
                <w:sz w:val="18"/>
                <w:szCs w:val="18"/>
              </w:rPr>
              <w:t xml:space="preserve">PUZ</w:t>
            </w:r>
          </w:p>
        </w:tc>
        <w:tc>
          <w:tcPr>
            <w:tcW w:type="dxa" w:w="7300"/>
          </w:tcPr>
          <w:p>
            <w:pPr>
              <w:spacing w:after="0"/>
              <w:jc w:val="left"/>
            </w:pPr>
            <w:r>
              <w:rPr>
                <w:rFonts w:ascii="Aptos" w:hAnsi="Aptos"/>
                <w:sz w:val="18"/>
                <w:szCs w:val="18"/>
              </w:rPr>
              <w:t xml:space="preserve">Procjena usklađenosti sa zakonskim zahtjevima (PUZ-IMS-01), vodi se na listu PUZ u TEHMA-IMS-Registru.</w:t>
            </w:r>
          </w:p>
        </w:tc>
      </w:tr>
      <w:tr>
        <w:trPr>
          <w:cantSplit/>
        </w:trPr>
        <w:tc>
          <w:tcPr>
            <w:tcW w:type="dxa" w:w="2300"/>
          </w:tcPr>
          <w:p>
            <w:pPr>
              <w:spacing w:after="0"/>
              <w:jc w:val="left"/>
            </w:pPr>
            <w:r>
              <w:rPr>
                <w:rFonts w:ascii="Aptos" w:hAnsi="Aptos"/>
                <w:sz w:val="18"/>
                <w:szCs w:val="18"/>
              </w:rPr>
              <w:t xml:space="preserve">RIZ-IMS-01</w:t>
            </w:r>
          </w:p>
        </w:tc>
        <w:tc>
          <w:tcPr>
            <w:tcW w:type="dxa" w:w="7300"/>
          </w:tcPr>
          <w:p>
            <w:pPr>
              <w:spacing w:after="0"/>
              <w:jc w:val="left"/>
            </w:pPr>
            <w:r>
              <w:rPr>
                <w:rFonts w:ascii="Aptos" w:hAnsi="Aptos"/>
                <w:sz w:val="18"/>
                <w:szCs w:val="18"/>
              </w:rPr>
              <w:t xml:space="preserve">Registar rizika i prilika, jedini mjerodavni registar rizika i prilika.</w:t>
            </w:r>
          </w:p>
        </w:tc>
      </w:tr>
    </w:tbl>
    <w:p>
      <w:pPr>
        <w:pStyle w:val="Heading1"/>
      </w:pPr>
      <w:r>
        <w:t xml:space="preserve">ODGOVORNOSTI</w:t>
      </w:r>
    </w:p>
    <w:tbl>
      <w:tblPr>
        <w:tblStyle w:val="GridTable3-Accent2"/>
        <w:tblW w:w="9600" w:type="dxa"/>
        <w:tblLayout w:type="fixed"/>
        <w:tblLook w:firstColumn="0" w:firstRow="1" w:lastColumn="0" w:lastRow="0" w:noHBand="0" w:noVBand="1" w:val="04A0"/>
      </w:tblPr>
      <w:tblGrid>
        <w:gridCol w:w="2300"/>
        <w:gridCol w:w="7300"/>
      </w:tblGrid>
      <w:tr>
        <w:trPr>
          <w:cantSplit/>
          <w:tblHeader/>
        </w:trPr>
        <w:tc>
          <w:tcPr>
            <w:tcW w:type="dxa" w:w="2300"/>
          </w:tcPr>
          <w:p>
            <w:pPr>
              <w:spacing w:after="0"/>
              <w:jc w:val="left"/>
            </w:pPr>
            <w:r>
              <w:rPr>
                <w:rFonts w:ascii="Aptos" w:hAnsi="Aptos"/>
                <w:b/>
                <w:bCs/>
                <w:sz w:val="18"/>
                <w:szCs w:val="18"/>
              </w:rPr>
              <w:t xml:space="preserve">Uloga</w:t>
            </w:r>
          </w:p>
        </w:tc>
        <w:tc>
          <w:tcPr>
            <w:tcW w:type="dxa" w:w="7300"/>
          </w:tcPr>
          <w:p>
            <w:pPr>
              <w:spacing w:after="0"/>
              <w:jc w:val="left"/>
            </w:pPr>
            <w:r>
              <w:rPr>
                <w:rFonts w:ascii="Aptos" w:hAnsi="Aptos"/>
                <w:b/>
                <w:bCs/>
                <w:sz w:val="18"/>
                <w:szCs w:val="18"/>
              </w:rPr>
              <w:t xml:space="preserve">Odgovornosti</w:t>
            </w:r>
          </w:p>
        </w:tc>
      </w:tr>
      <w:tr>
        <w:trPr>
          <w:cantSplit/>
        </w:trPr>
        <w:tc>
          <w:tcPr>
            <w:tcW w:type="dxa" w:w="2300"/>
          </w:tcPr>
          <w:p>
            <w:pPr>
              <w:spacing w:after="0"/>
              <w:jc w:val="left"/>
            </w:pPr>
            <w:r>
              <w:rPr>
                <w:rFonts w:ascii="Aptos" w:hAnsi="Aptos"/>
                <w:sz w:val="18"/>
                <w:szCs w:val="18"/>
              </w:rPr>
              <w:t xml:space="preserve">Direktor</w:t>
            </w:r>
          </w:p>
        </w:tc>
        <w:tc>
          <w:tcPr>
            <w:tcW w:type="dxa" w:w="7300"/>
          </w:tcPr>
          <w:p>
            <w:pPr>
              <w:spacing w:after="0"/>
              <w:jc w:val="left"/>
            </w:pPr>
            <w:r>
              <w:rPr>
                <w:rFonts w:ascii="Aptos" w:hAnsi="Aptos"/>
                <w:sz w:val="18"/>
                <w:szCs w:val="18"/>
              </w:rPr>
              <w:t xml:space="preserve">Odobrava matricu aspekata (AO-IMS-01); donosi odluke i osigurava resurse za mjere za značajne aspekte; odobrava RZZ i PUZ.</w:t>
            </w:r>
          </w:p>
        </w:tc>
      </w:tr>
      <w:tr>
        <w:trPr>
          <w:cantSplit/>
        </w:trPr>
        <w:tc>
          <w:tcPr>
            <w:tcW w:type="dxa" w:w="2300"/>
          </w:tcPr>
          <w:p>
            <w:pPr>
              <w:spacing w:after="0"/>
              <w:jc w:val="left"/>
            </w:pPr>
            <w:r>
              <w:rPr>
                <w:rFonts w:ascii="Aptos" w:hAnsi="Aptos"/>
                <w:sz w:val="18"/>
                <w:szCs w:val="18"/>
              </w:rPr>
              <w:t xml:space="preserve">MR</w:t>
            </w:r>
          </w:p>
        </w:tc>
        <w:tc>
          <w:tcPr>
            <w:tcW w:type="dxa" w:w="7300"/>
          </w:tcPr>
          <w:p>
            <w:pPr>
              <w:spacing w:after="0"/>
              <w:jc w:val="left"/>
            </w:pPr>
            <w:r>
              <w:rPr>
                <w:rFonts w:ascii="Aptos" w:hAnsi="Aptos"/>
                <w:sz w:val="18"/>
                <w:szCs w:val="18"/>
              </w:rPr>
              <w:t xml:space="preserve">Koordinira vrednovanje aspekata; vodi RZZ i PUZ; preispituje RZZ najmanje dvaput godišnje i pri saznanju o izmjeni propisa; rezultate ocjene usklađenosti iznosi na upravinoj ocjeni.</w:t>
            </w:r>
          </w:p>
        </w:tc>
      </w:tr>
      <w:tr>
        <w:trPr>
          <w:cantSplit/>
        </w:trPr>
        <w:tc>
          <w:tcPr>
            <w:tcW w:type="dxa" w:w="2300"/>
          </w:tcPr>
          <w:p>
            <w:pPr>
              <w:spacing w:after="0"/>
              <w:jc w:val="left"/>
            </w:pPr>
            <w:r>
              <w:rPr>
                <w:rFonts w:ascii="Aptos" w:hAnsi="Aptos"/>
                <w:sz w:val="18"/>
                <w:szCs w:val="18"/>
              </w:rPr>
              <w:t xml:space="preserve">HSE referent</w:t>
            </w:r>
          </w:p>
        </w:tc>
        <w:tc>
          <w:tcPr>
            <w:tcW w:type="dxa" w:w="7300"/>
          </w:tcPr>
          <w:p>
            <w:pPr>
              <w:spacing w:after="0"/>
              <w:jc w:val="left"/>
            </w:pPr>
            <w:r>
              <w:rPr>
                <w:rFonts w:ascii="Aptos" w:hAnsi="Aptos"/>
                <w:sz w:val="18"/>
                <w:szCs w:val="18"/>
              </w:rPr>
              <w:t xml:space="preserve">Vodi matricu AO-IMS-01; provodi nadzor na gradilištima, vodi očevidnike otpada i okolišne zapise; sudjeluje u preispitivanju RZZ za okolišne propise.</w:t>
            </w:r>
          </w:p>
        </w:tc>
      </w:tr>
      <w:tr>
        <w:trPr>
          <w:cantSplit/>
        </w:trPr>
        <w:tc>
          <w:tcPr>
            <w:tcW w:type="dxa" w:w="2300"/>
          </w:tcPr>
          <w:p>
            <w:pPr>
              <w:spacing w:after="0"/>
              <w:jc w:val="left"/>
            </w:pPr>
            <w:r>
              <w:rPr>
                <w:rFonts w:ascii="Aptos" w:hAnsi="Aptos"/>
                <w:sz w:val="18"/>
                <w:szCs w:val="18"/>
              </w:rPr>
              <w:t xml:space="preserve">Voditelj gradilišta</w:t>
            </w:r>
          </w:p>
        </w:tc>
        <w:tc>
          <w:tcPr>
            <w:tcW w:type="dxa" w:w="7300"/>
          </w:tcPr>
          <w:p>
            <w:pPr>
              <w:spacing w:after="0"/>
              <w:jc w:val="left"/>
            </w:pPr>
            <w:r>
              <w:rPr>
                <w:rFonts w:ascii="Aptos" w:hAnsi="Aptos"/>
                <w:sz w:val="18"/>
                <w:szCs w:val="18"/>
              </w:rPr>
              <w:t xml:space="preserve">Identificira aspekte u fazi planiranja i izvođenja; pri otvaranju gradilišta s HSE referentom provjerava primjenjivost matrice na lokaciju; provodi mjere kontrole.</w:t>
            </w:r>
          </w:p>
        </w:tc>
      </w:tr>
      <w:tr>
        <w:trPr>
          <w:cantSplit/>
        </w:trPr>
        <w:tc>
          <w:tcPr>
            <w:tcW w:type="dxa" w:w="2300"/>
          </w:tcPr>
          <w:p>
            <w:pPr>
              <w:spacing w:after="0"/>
              <w:jc w:val="left"/>
            </w:pPr>
            <w:r>
              <w:rPr>
                <w:rFonts w:ascii="Aptos" w:hAnsi="Aptos"/>
                <w:sz w:val="18"/>
                <w:szCs w:val="18"/>
              </w:rPr>
              <w:t xml:space="preserve">Interni auditor</w:t>
            </w:r>
          </w:p>
        </w:tc>
        <w:tc>
          <w:tcPr>
            <w:tcW w:type="dxa" w:w="7300"/>
          </w:tcPr>
          <w:p>
            <w:pPr>
              <w:spacing w:after="0"/>
              <w:jc w:val="left"/>
            </w:pPr>
            <w:r>
              <w:rPr>
                <w:rFonts w:ascii="Aptos" w:hAnsi="Aptos"/>
                <w:sz w:val="18"/>
                <w:szCs w:val="18"/>
              </w:rPr>
              <w:t xml:space="preserve">U svakom internom auditu provjerava usklađenost AO-IMS-01, RIZ-IMS-01 i RZZ te ažurnost RZZ (OBR-IA-IMS-01).</w:t>
            </w:r>
          </w:p>
        </w:tc>
      </w:tr>
      <w:tr>
        <w:trPr>
          <w:cantSplit/>
        </w:trPr>
        <w:tc>
          <w:tcPr>
            <w:tcW w:type="dxa" w:w="2300"/>
          </w:tcPr>
          <w:p>
            <w:pPr>
              <w:spacing w:after="0"/>
              <w:jc w:val="left"/>
            </w:pPr>
            <w:r>
              <w:rPr>
                <w:rFonts w:ascii="Aptos" w:hAnsi="Aptos"/>
                <w:sz w:val="18"/>
                <w:szCs w:val="18"/>
              </w:rPr>
              <w:t xml:space="preserve">Podizvođači</w:t>
            </w:r>
          </w:p>
        </w:tc>
        <w:tc>
          <w:tcPr>
            <w:tcW w:type="dxa" w:w="7300"/>
          </w:tcPr>
          <w:p>
            <w:pPr>
              <w:spacing w:after="0"/>
              <w:jc w:val="left"/>
            </w:pPr>
            <w:r>
              <w:rPr>
                <w:rFonts w:ascii="Aptos" w:hAnsi="Aptos"/>
                <w:sz w:val="18"/>
                <w:szCs w:val="18"/>
              </w:rPr>
              <w:t xml:space="preserve">Postupaju u skladu s PKI, okolišnim mjerama gradilišta i odredbama ugovora.</w:t>
            </w:r>
          </w:p>
        </w:tc>
      </w:tr>
    </w:tbl>
    <w:p>
      <w:pPr>
        <w:pStyle w:val="Heading1"/>
      </w:pPr>
      <w:r>
        <w:t xml:space="preserve">POSTUPAK</w:t>
      </w:r>
    </w:p>
    <w:p>
      <w:pPr>
        <w:pStyle w:val="Heading2"/>
      </w:pPr>
      <w:r>
        <w:t xml:space="preserve">Mjerodavni dokument</w:t>
      </w:r>
    </w:p>
    <w:p>
      <w:pPr>
        <w:spacing w:after="60"/>
        <w:jc w:val="both"/>
      </w:pPr>
      <w:r>
        <w:rPr>
          <w:rFonts w:ascii="Aptos" w:hAnsi="Aptos"/>
          <w:sz w:val="22"/>
          <w:szCs w:val="22"/>
        </w:rPr>
        <w:t xml:space="preserve">Aspekti okoliša vode se isključivo u Matrici aspekata i rizika okoliša AO-IMS-01. List REG-AO u TEHMA-IMS-Registru, okolišni dio dokumenta IMS-RISK-ENV i inicijalno popunjeni obrazac FRM-IMS-09 objedinjeni su u AO-IMS-01 v1.1, označeni su kao zastarjeli i više se ne ažuriraju. Zasebne matrice po gradilištu ne vode se; aspekti specifični za lokaciju upisuju se u AO-IMS-01 uz naziv lokacije.</w:t>
      </w:r>
    </w:p>
    <w:p>
      <w:pPr>
        <w:pStyle w:val="Heading2"/>
      </w:pPr>
      <w:r>
        <w:t xml:space="preserve">Identifikacija aspekata</w:t>
      </w:r>
    </w:p>
    <w:p>
      <w:pPr>
        <w:spacing w:after="60"/>
        <w:jc w:val="both"/>
      </w:pPr>
      <w:r>
        <w:rPr>
          <w:rFonts w:ascii="Aptos" w:hAnsi="Aptos"/>
          <w:sz w:val="22"/>
          <w:szCs w:val="22"/>
        </w:rPr>
        <w:t xml:space="preserve">Aspekti se identificiraju za svaku aktivnost, proces i lokaciju, uzimajući u obzir perspektivu životnog ciklusa u dijelu na koji TEHMA može utjecati (nabava materijala, izvođenje, otpad, predaja objekta). Ulazi su:</w:t>
      </w:r>
    </w:p>
    <w:p>
      <w:pPr>
        <w:numPr>
          <w:ilvl w:val="0"/>
          <w:numId w:val="15"/>
        </w:numPr>
        <w:spacing w:after="60"/>
        <w:jc w:val="both"/>
      </w:pPr>
      <w:r>
        <w:rPr>
          <w:rFonts w:ascii="Aptos" w:hAnsi="Aptos"/>
          <w:sz w:val="22"/>
          <w:szCs w:val="22"/>
        </w:rPr>
        <w:t xml:space="preserve">vrste radova i tehnologija izvođenja,</w:t>
      </w:r>
    </w:p>
    <w:p>
      <w:pPr>
        <w:numPr>
          <w:ilvl w:val="0"/>
          <w:numId w:val="15"/>
        </w:numPr>
        <w:spacing w:after="60"/>
        <w:jc w:val="both"/>
      </w:pPr>
      <w:r>
        <w:rPr>
          <w:rFonts w:ascii="Aptos" w:hAnsi="Aptos"/>
          <w:sz w:val="22"/>
          <w:szCs w:val="22"/>
        </w:rPr>
        <w:t xml:space="preserve">korišteni materijali i kemikalije,</w:t>
      </w:r>
    </w:p>
    <w:p>
      <w:pPr>
        <w:numPr>
          <w:ilvl w:val="0"/>
          <w:numId w:val="15"/>
        </w:numPr>
        <w:spacing w:after="60"/>
        <w:jc w:val="both"/>
      </w:pPr>
      <w:r>
        <w:rPr>
          <w:rFonts w:ascii="Aptos" w:hAnsi="Aptos"/>
          <w:sz w:val="22"/>
          <w:szCs w:val="22"/>
        </w:rPr>
        <w:t xml:space="preserve">oprema, strojevi i plovila,</w:t>
      </w:r>
    </w:p>
    <w:p>
      <w:pPr>
        <w:numPr>
          <w:ilvl w:val="0"/>
          <w:numId w:val="15"/>
        </w:numPr>
        <w:spacing w:after="60"/>
        <w:jc w:val="both"/>
      </w:pPr>
      <w:r>
        <w:rPr>
          <w:rFonts w:ascii="Aptos" w:hAnsi="Aptos"/>
          <w:sz w:val="22"/>
          <w:szCs w:val="22"/>
        </w:rPr>
        <w:t xml:space="preserve">nastanak otpada,</w:t>
      </w:r>
    </w:p>
    <w:p>
      <w:pPr>
        <w:numPr>
          <w:ilvl w:val="0"/>
          <w:numId w:val="15"/>
        </w:numPr>
        <w:spacing w:after="60"/>
        <w:jc w:val="both"/>
      </w:pPr>
      <w:r>
        <w:rPr>
          <w:rFonts w:ascii="Aptos" w:hAnsi="Aptos"/>
          <w:sz w:val="22"/>
          <w:szCs w:val="22"/>
        </w:rPr>
        <w:t xml:space="preserve">moguće emisije u zrak, tlo, vodu i more, buka i vibracije,</w:t>
      </w:r>
    </w:p>
    <w:p>
      <w:pPr>
        <w:numPr>
          <w:ilvl w:val="0"/>
          <w:numId w:val="15"/>
        </w:numPr>
        <w:spacing w:after="60"/>
        <w:jc w:val="both"/>
      </w:pPr>
      <w:r>
        <w:rPr>
          <w:rFonts w:ascii="Aptos" w:hAnsi="Aptos"/>
          <w:sz w:val="22"/>
          <w:szCs w:val="22"/>
        </w:rPr>
        <w:t xml:space="preserve">osjetljivost lokacije (naselje, objekti s osjetljivim korisnicima kao što su vrtići i škole, more i obalno područje, zaštićena područja),</w:t>
      </w:r>
    </w:p>
    <w:p>
      <w:pPr>
        <w:numPr>
          <w:ilvl w:val="0"/>
          <w:numId w:val="15"/>
        </w:numPr>
        <w:spacing w:after="60"/>
        <w:jc w:val="both"/>
      </w:pPr>
      <w:r>
        <w:rPr>
          <w:rFonts w:ascii="Aptos" w:hAnsi="Aptos"/>
          <w:sz w:val="22"/>
          <w:szCs w:val="22"/>
        </w:rPr>
        <w:t xml:space="preserve">zakonski zahtjevi iz RZZ-a, uvjeti iz akata za građenje, uvjeti investitora i nadzora,</w:t>
      </w:r>
    </w:p>
    <w:p>
      <w:pPr>
        <w:numPr>
          <w:ilvl w:val="0"/>
          <w:numId w:val="15"/>
        </w:numPr>
        <w:spacing w:after="60"/>
        <w:jc w:val="both"/>
      </w:pPr>
      <w:r>
        <w:rPr>
          <w:rFonts w:ascii="Aptos" w:hAnsi="Aptos"/>
          <w:sz w:val="22"/>
          <w:szCs w:val="22"/>
        </w:rPr>
        <w:t xml:space="preserve">klimatski i vremenski uvjeti (visoke temperature, bura, jake oborine, stanje mora),</w:t>
      </w:r>
    </w:p>
    <w:p>
      <w:pPr>
        <w:numPr>
          <w:ilvl w:val="0"/>
          <w:numId w:val="15"/>
        </w:numPr>
        <w:spacing w:after="60"/>
        <w:jc w:val="both"/>
      </w:pPr>
      <w:r>
        <w:rPr>
          <w:rFonts w:ascii="Aptos" w:hAnsi="Aptos"/>
          <w:sz w:val="22"/>
          <w:szCs w:val="22"/>
        </w:rPr>
        <w:t xml:space="preserve">nesukladnosti, incidenti, rezultati vježbi pripravnosti i pritužbe zainteresiranih strana.</w:t>
      </w:r>
    </w:p>
    <w:p>
      <w:pPr>
        <w:pStyle w:val="Heading2"/>
      </w:pPr>
      <w:r>
        <w:t xml:space="preserve">Uvjeti nastanka</w:t>
      </w:r>
    </w:p>
    <w:p>
      <w:pPr>
        <w:spacing w:after="60"/>
        <w:jc w:val="both"/>
      </w:pPr>
      <w:r>
        <w:rPr>
          <w:rFonts w:ascii="Aptos" w:hAnsi="Aptos"/>
          <w:sz w:val="22"/>
          <w:szCs w:val="22"/>
        </w:rPr>
        <w:t xml:space="preserve">Za svaki aspekt upisuju se uvjeti u kojima nastaje. Isti aspekt može imati različitu ocjenu u različitim uvjetima; tada se upisuje kao zasebna stavka.</w:t>
      </w:r>
    </w:p>
    <w:tbl>
      <w:tblPr>
        <w:tblStyle w:val="GridTable3-Accent2"/>
        <w:tblW w:w="9600" w:type="dxa"/>
        <w:tblLayout w:type="fixed"/>
        <w:tblLook w:firstColumn="0" w:firstRow="1" w:lastColumn="0" w:lastRow="0" w:noHBand="0" w:noVBand="1" w:val="04A0"/>
      </w:tblPr>
      <w:tblGrid>
        <w:gridCol w:w="1100"/>
        <w:gridCol w:w="2500"/>
        <w:gridCol w:w="6000"/>
      </w:tblGrid>
      <w:tr>
        <w:trPr>
          <w:cantSplit/>
          <w:tblHeader/>
        </w:trPr>
        <w:tc>
          <w:tcPr>
            <w:tcW w:type="dxa" w:w="1100"/>
          </w:tcPr>
          <w:p>
            <w:pPr>
              <w:spacing w:after="0"/>
              <w:jc w:val="left"/>
            </w:pPr>
            <w:r>
              <w:rPr>
                <w:rFonts w:ascii="Aptos" w:hAnsi="Aptos"/>
                <w:b/>
                <w:bCs/>
                <w:sz w:val="18"/>
                <w:szCs w:val="18"/>
              </w:rPr>
              <w:t xml:space="preserve">Oznaka</w:t>
            </w:r>
          </w:p>
        </w:tc>
        <w:tc>
          <w:tcPr>
            <w:tcW w:type="dxa" w:w="2500"/>
          </w:tcPr>
          <w:p>
            <w:pPr>
              <w:spacing w:after="0"/>
              <w:jc w:val="left"/>
            </w:pPr>
            <w:r>
              <w:rPr>
                <w:rFonts w:ascii="Aptos" w:hAnsi="Aptos"/>
                <w:b/>
                <w:bCs/>
                <w:sz w:val="18"/>
                <w:szCs w:val="18"/>
              </w:rPr>
              <w:t xml:space="preserve">Uvjeti</w:t>
            </w:r>
          </w:p>
        </w:tc>
        <w:tc>
          <w:tcPr>
            <w:tcW w:type="dxa" w:w="6000"/>
          </w:tcPr>
          <w:p>
            <w:pPr>
              <w:spacing w:after="0"/>
              <w:jc w:val="left"/>
            </w:pPr>
            <w:r>
              <w:rPr>
                <w:rFonts w:ascii="Aptos" w:hAnsi="Aptos"/>
                <w:b/>
                <w:bCs/>
                <w:sz w:val="18"/>
                <w:szCs w:val="18"/>
              </w:rPr>
              <w:t xml:space="preserve">Primjeri</w:t>
            </w:r>
          </w:p>
        </w:tc>
      </w:tr>
      <w:tr>
        <w:trPr>
          <w:cantSplit/>
        </w:trPr>
        <w:tc>
          <w:tcPr>
            <w:tcW w:type="dxa" w:w="1100"/>
          </w:tcPr>
          <w:p>
            <w:pPr>
              <w:spacing w:after="0"/>
              <w:jc w:val="left"/>
            </w:pPr>
            <w:r>
              <w:rPr>
                <w:rFonts w:ascii="Aptos" w:hAnsi="Aptos"/>
                <w:sz w:val="18"/>
                <w:szCs w:val="18"/>
              </w:rPr>
              <w:t xml:space="preserve">R</w:t>
            </w:r>
          </w:p>
        </w:tc>
        <w:tc>
          <w:tcPr>
            <w:tcW w:type="dxa" w:w="2500"/>
          </w:tcPr>
          <w:p>
            <w:pPr>
              <w:spacing w:after="0"/>
              <w:jc w:val="left"/>
            </w:pPr>
            <w:r>
              <w:rPr>
                <w:rFonts w:ascii="Aptos" w:hAnsi="Aptos"/>
                <w:sz w:val="18"/>
                <w:szCs w:val="18"/>
              </w:rPr>
              <w:t xml:space="preserve">Redovni uvjeti rada</w:t>
            </w:r>
          </w:p>
        </w:tc>
        <w:tc>
          <w:tcPr>
            <w:tcW w:type="dxa" w:w="6000"/>
          </w:tcPr>
          <w:p>
            <w:pPr>
              <w:spacing w:after="0"/>
              <w:jc w:val="left"/>
            </w:pPr>
            <w:r>
              <w:rPr>
                <w:rFonts w:ascii="Aptos" w:hAnsi="Aptos"/>
                <w:sz w:val="18"/>
                <w:szCs w:val="18"/>
              </w:rPr>
              <w:t xml:space="preserve">Buka i prašina pri iskopu, emisije strojeva, nastanak građevnog otpada</w:t>
            </w:r>
          </w:p>
        </w:tc>
      </w:tr>
      <w:tr>
        <w:trPr>
          <w:cantSplit/>
        </w:trPr>
        <w:tc>
          <w:tcPr>
            <w:tcW w:type="dxa" w:w="1100"/>
          </w:tcPr>
          <w:p>
            <w:pPr>
              <w:spacing w:after="0"/>
              <w:jc w:val="left"/>
            </w:pPr>
            <w:r>
              <w:rPr>
                <w:rFonts w:ascii="Aptos" w:hAnsi="Aptos"/>
                <w:sz w:val="18"/>
                <w:szCs w:val="18"/>
              </w:rPr>
              <w:t xml:space="preserve">I</w:t>
            </w:r>
          </w:p>
        </w:tc>
        <w:tc>
          <w:tcPr>
            <w:tcW w:type="dxa" w:w="2500"/>
          </w:tcPr>
          <w:p>
            <w:pPr>
              <w:spacing w:after="0"/>
              <w:jc w:val="left"/>
            </w:pPr>
            <w:r>
              <w:rPr>
                <w:rFonts w:ascii="Aptos" w:hAnsi="Aptos"/>
                <w:sz w:val="18"/>
                <w:szCs w:val="18"/>
              </w:rPr>
              <w:t xml:space="preserve">Izvanredni uvjeti</w:t>
            </w:r>
          </w:p>
        </w:tc>
        <w:tc>
          <w:tcPr>
            <w:tcW w:type="dxa" w:w="6000"/>
          </w:tcPr>
          <w:p>
            <w:pPr>
              <w:spacing w:after="0"/>
              <w:jc w:val="left"/>
            </w:pPr>
            <w:r>
              <w:rPr>
                <w:rFonts w:ascii="Aptos" w:hAnsi="Aptos"/>
                <w:sz w:val="18"/>
                <w:szCs w:val="18"/>
              </w:rPr>
              <w:t xml:space="preserve">Održavanje i kvar stroja, pokretanje i zaustavljanje radova, rad pri buri ili jakim oborinama</w:t>
            </w:r>
          </w:p>
        </w:tc>
      </w:tr>
      <w:tr>
        <w:trPr>
          <w:cantSplit/>
        </w:trPr>
        <w:tc>
          <w:tcPr>
            <w:tcW w:type="dxa" w:w="1100"/>
          </w:tcPr>
          <w:p>
            <w:pPr>
              <w:spacing w:after="0"/>
              <w:jc w:val="left"/>
            </w:pPr>
            <w:r>
              <w:rPr>
                <w:rFonts w:ascii="Aptos" w:hAnsi="Aptos"/>
                <w:sz w:val="18"/>
                <w:szCs w:val="18"/>
              </w:rPr>
              <w:t xml:space="preserve">IS</w:t>
            </w:r>
          </w:p>
        </w:tc>
        <w:tc>
          <w:tcPr>
            <w:tcW w:type="dxa" w:w="2500"/>
          </w:tcPr>
          <w:p>
            <w:pPr>
              <w:spacing w:after="0"/>
              <w:jc w:val="left"/>
            </w:pPr>
            <w:r>
              <w:rPr>
                <w:rFonts w:ascii="Aptos" w:hAnsi="Aptos"/>
                <w:sz w:val="18"/>
                <w:szCs w:val="18"/>
              </w:rPr>
              <w:t xml:space="preserve">Izvanredna situacija</w:t>
            </w:r>
          </w:p>
        </w:tc>
        <w:tc>
          <w:tcPr>
            <w:tcW w:type="dxa" w:w="6000"/>
          </w:tcPr>
          <w:p>
            <w:pPr>
              <w:spacing w:after="0"/>
              <w:jc w:val="left"/>
            </w:pPr>
            <w:r>
              <w:rPr>
                <w:rFonts w:ascii="Aptos" w:hAnsi="Aptos"/>
                <w:sz w:val="18"/>
                <w:szCs w:val="18"/>
              </w:rPr>
              <w:t xml:space="preserve">Izlijevanje goriva ili ulja, požar, izlijevanje u more</w:t>
            </w:r>
          </w:p>
        </w:tc>
      </w:tr>
    </w:tbl>
    <w:p>
      <w:pPr>
        <w:pStyle w:val="Heading2"/>
      </w:pPr>
      <w:r>
        <w:t xml:space="preserve">Kriteriji ocjene</w:t>
      </w:r>
    </w:p>
    <w:p>
      <w:pPr>
        <w:spacing w:after="60"/>
        <w:jc w:val="both"/>
      </w:pPr>
      <w:r>
        <w:rPr>
          <w:rFonts w:ascii="Aptos" w:hAnsi="Aptos"/>
          <w:sz w:val="22"/>
          <w:szCs w:val="22"/>
        </w:rPr>
        <w:t xml:space="preserve">Svaki aspekt ocjenjuje se prema dva kriterija, svaki na ljestvici od 1 do 5:</w:t>
      </w:r>
    </w:p>
    <w:tbl>
      <w:tblPr>
        <w:tblStyle w:val="GridTable3-Accent2"/>
        <w:tblW w:w="9600" w:type="dxa"/>
        <w:tblLayout w:type="fixed"/>
        <w:tblLook w:firstColumn="0" w:firstRow="1" w:lastColumn="0" w:lastRow="0" w:noHBand="0" w:noVBand="1" w:val="04A0"/>
      </w:tblPr>
      <w:tblGrid>
        <w:gridCol w:w="900"/>
        <w:gridCol w:w="4300"/>
        <w:gridCol w:w="4400"/>
      </w:tblGrid>
      <w:tr>
        <w:trPr>
          <w:cantSplit/>
          <w:tblHeader/>
        </w:trPr>
        <w:tc>
          <w:tcPr>
            <w:tcW w:type="dxa" w:w="900"/>
          </w:tcPr>
          <w:p>
            <w:pPr>
              <w:spacing w:after="0"/>
              <w:jc w:val="center"/>
            </w:pPr>
            <w:r>
              <w:rPr>
                <w:rFonts w:ascii="Aptos" w:hAnsi="Aptos"/>
                <w:b/>
                <w:bCs/>
                <w:sz w:val="18"/>
                <w:szCs w:val="18"/>
              </w:rPr>
              <w:t xml:space="preserve">Ocjena</w:t>
            </w:r>
          </w:p>
        </w:tc>
        <w:tc>
          <w:tcPr>
            <w:tcW w:type="dxa" w:w="4300"/>
          </w:tcPr>
          <w:p>
            <w:pPr>
              <w:spacing w:after="0"/>
              <w:jc w:val="left"/>
            </w:pPr>
            <w:r>
              <w:rPr>
                <w:rFonts w:ascii="Aptos" w:hAnsi="Aptos"/>
                <w:b/>
                <w:bCs/>
                <w:sz w:val="18"/>
                <w:szCs w:val="18"/>
              </w:rPr>
              <w:t xml:space="preserve">V - vjerojatnost ili učestalost nastanka</w:t>
            </w:r>
          </w:p>
        </w:tc>
        <w:tc>
          <w:tcPr>
            <w:tcW w:type="dxa" w:w="4400"/>
          </w:tcPr>
          <w:p>
            <w:pPr>
              <w:spacing w:after="0"/>
              <w:jc w:val="left"/>
            </w:pPr>
            <w:r>
              <w:rPr>
                <w:rFonts w:ascii="Aptos" w:hAnsi="Aptos"/>
                <w:b/>
                <w:bCs/>
                <w:sz w:val="18"/>
                <w:szCs w:val="18"/>
              </w:rPr>
              <w:t xml:space="preserve">P - ozbiljnost utjecaja na okoliš</w:t>
            </w:r>
          </w:p>
        </w:tc>
      </w:tr>
      <w:tr>
        <w:trPr>
          <w:cantSplit/>
        </w:trPr>
        <w:tc>
          <w:tcPr>
            <w:tcW w:type="dxa" w:w="900"/>
          </w:tcPr>
          <w:p>
            <w:pPr>
              <w:spacing w:after="0"/>
              <w:jc w:val="center"/>
            </w:pPr>
            <w:r>
              <w:rPr>
                <w:rFonts w:ascii="Aptos" w:hAnsi="Aptos"/>
                <w:sz w:val="18"/>
                <w:szCs w:val="18"/>
              </w:rPr>
              <w:t xml:space="preserve">1</w:t>
            </w:r>
          </w:p>
        </w:tc>
        <w:tc>
          <w:tcPr>
            <w:tcW w:type="dxa" w:w="4300"/>
          </w:tcPr>
          <w:p>
            <w:pPr>
              <w:spacing w:after="0"/>
              <w:jc w:val="left"/>
            </w:pPr>
            <w:r>
              <w:rPr>
                <w:rFonts w:ascii="Aptos" w:hAnsi="Aptos"/>
                <w:sz w:val="18"/>
                <w:szCs w:val="18"/>
              </w:rPr>
              <w:t xml:space="preserve">Vrlo rijetko; samo u malo vjerojatnoj izvanrednoj situaciji</w:t>
            </w:r>
          </w:p>
        </w:tc>
        <w:tc>
          <w:tcPr>
            <w:tcW w:type="dxa" w:w="4400"/>
          </w:tcPr>
          <w:p>
            <w:pPr>
              <w:spacing w:after="0"/>
              <w:jc w:val="left"/>
            </w:pPr>
            <w:r>
              <w:rPr>
                <w:rFonts w:ascii="Aptos" w:hAnsi="Aptos"/>
                <w:sz w:val="18"/>
                <w:szCs w:val="18"/>
              </w:rPr>
              <w:t xml:space="preserve">Zanemariv utjecaj</w:t>
            </w:r>
          </w:p>
        </w:tc>
      </w:tr>
      <w:tr>
        <w:trPr>
          <w:cantSplit/>
        </w:trPr>
        <w:tc>
          <w:tcPr>
            <w:tcW w:type="dxa" w:w="900"/>
          </w:tcPr>
          <w:p>
            <w:pPr>
              <w:spacing w:after="0"/>
              <w:jc w:val="center"/>
            </w:pPr>
            <w:r>
              <w:rPr>
                <w:rFonts w:ascii="Aptos" w:hAnsi="Aptos"/>
                <w:sz w:val="18"/>
                <w:szCs w:val="18"/>
              </w:rPr>
              <w:t xml:space="preserve">2</w:t>
            </w:r>
          </w:p>
        </w:tc>
        <w:tc>
          <w:tcPr>
            <w:tcW w:type="dxa" w:w="4300"/>
          </w:tcPr>
          <w:p>
            <w:pPr>
              <w:spacing w:after="0"/>
              <w:jc w:val="left"/>
            </w:pPr>
            <w:r>
              <w:rPr>
                <w:rFonts w:ascii="Aptos" w:hAnsi="Aptos"/>
                <w:sz w:val="18"/>
                <w:szCs w:val="18"/>
              </w:rPr>
              <w:t xml:space="preserve">Rijetko (nekoliko puta u više godina)</w:t>
            </w:r>
          </w:p>
        </w:tc>
        <w:tc>
          <w:tcPr>
            <w:tcW w:type="dxa" w:w="4400"/>
          </w:tcPr>
          <w:p>
            <w:pPr>
              <w:spacing w:after="0"/>
              <w:jc w:val="left"/>
            </w:pPr>
            <w:r>
              <w:rPr>
                <w:rFonts w:ascii="Aptos" w:hAnsi="Aptos"/>
                <w:sz w:val="18"/>
                <w:szCs w:val="18"/>
              </w:rPr>
              <w:t xml:space="preserve">Mali, lokalan, kratkotrajan i potpuno povratan</w:t>
            </w:r>
          </w:p>
        </w:tc>
      </w:tr>
      <w:tr>
        <w:trPr>
          <w:cantSplit/>
        </w:trPr>
        <w:tc>
          <w:tcPr>
            <w:tcW w:type="dxa" w:w="900"/>
          </w:tcPr>
          <w:p>
            <w:pPr>
              <w:spacing w:after="0"/>
              <w:jc w:val="center"/>
            </w:pPr>
            <w:r>
              <w:rPr>
                <w:rFonts w:ascii="Aptos" w:hAnsi="Aptos"/>
                <w:sz w:val="18"/>
                <w:szCs w:val="18"/>
              </w:rPr>
              <w:t xml:space="preserve">3</w:t>
            </w:r>
          </w:p>
        </w:tc>
        <w:tc>
          <w:tcPr>
            <w:tcW w:type="dxa" w:w="4300"/>
          </w:tcPr>
          <w:p>
            <w:pPr>
              <w:spacing w:after="0"/>
              <w:jc w:val="left"/>
            </w:pPr>
            <w:r>
              <w:rPr>
                <w:rFonts w:ascii="Aptos" w:hAnsi="Aptos"/>
                <w:sz w:val="18"/>
                <w:szCs w:val="18"/>
              </w:rPr>
              <w:t xml:space="preserve">Povremeno (na dijelu projekata ili približno jednom godišnje)</w:t>
            </w:r>
          </w:p>
        </w:tc>
        <w:tc>
          <w:tcPr>
            <w:tcW w:type="dxa" w:w="4400"/>
          </w:tcPr>
          <w:p>
            <w:pPr>
              <w:spacing w:after="0"/>
              <w:jc w:val="left"/>
            </w:pPr>
            <w:r>
              <w:rPr>
                <w:rFonts w:ascii="Aptos" w:hAnsi="Aptos"/>
                <w:sz w:val="18"/>
                <w:szCs w:val="18"/>
              </w:rPr>
              <w:t xml:space="preserve">Umjeren, lokalan, sanira se vlastitim mjerama; ili utječe na susjede (moguće pritužbe)</w:t>
            </w:r>
          </w:p>
        </w:tc>
      </w:tr>
      <w:tr>
        <w:trPr>
          <w:cantSplit/>
        </w:trPr>
        <w:tc>
          <w:tcPr>
            <w:tcW w:type="dxa" w:w="900"/>
          </w:tcPr>
          <w:p>
            <w:pPr>
              <w:spacing w:after="0"/>
              <w:jc w:val="center"/>
            </w:pPr>
            <w:r>
              <w:rPr>
                <w:rFonts w:ascii="Aptos" w:hAnsi="Aptos"/>
                <w:sz w:val="18"/>
                <w:szCs w:val="18"/>
              </w:rPr>
              <w:t xml:space="preserve">4</w:t>
            </w:r>
          </w:p>
        </w:tc>
        <w:tc>
          <w:tcPr>
            <w:tcW w:type="dxa" w:w="4300"/>
          </w:tcPr>
          <w:p>
            <w:pPr>
              <w:spacing w:after="0"/>
              <w:jc w:val="left"/>
            </w:pPr>
            <w:r>
              <w:rPr>
                <w:rFonts w:ascii="Aptos" w:hAnsi="Aptos"/>
                <w:sz w:val="18"/>
                <w:szCs w:val="18"/>
              </w:rPr>
              <w:t xml:space="preserve">Često (na većini gradilišta, više puta godišnje)</w:t>
            </w:r>
          </w:p>
        </w:tc>
        <w:tc>
          <w:tcPr>
            <w:tcW w:type="dxa" w:w="4400"/>
          </w:tcPr>
          <w:p>
            <w:pPr>
              <w:spacing w:after="0"/>
              <w:jc w:val="left"/>
            </w:pPr>
            <w:r>
              <w:rPr>
                <w:rFonts w:ascii="Aptos" w:hAnsi="Aptos"/>
                <w:sz w:val="18"/>
                <w:szCs w:val="18"/>
              </w:rPr>
              <w:t xml:space="preserve">Velik; onečišćenje tla ili vode koje zahtijeva sanaciju; osjetljiva lokacija</w:t>
            </w:r>
          </w:p>
        </w:tc>
      </w:tr>
      <w:tr>
        <w:trPr>
          <w:cantSplit/>
        </w:trPr>
        <w:tc>
          <w:tcPr>
            <w:tcW w:type="dxa" w:w="900"/>
          </w:tcPr>
          <w:p>
            <w:pPr>
              <w:spacing w:after="0"/>
              <w:jc w:val="center"/>
            </w:pPr>
            <w:r>
              <w:rPr>
                <w:rFonts w:ascii="Aptos" w:hAnsi="Aptos"/>
                <w:sz w:val="18"/>
                <w:szCs w:val="18"/>
              </w:rPr>
              <w:t xml:space="preserve">5</w:t>
            </w:r>
          </w:p>
        </w:tc>
        <w:tc>
          <w:tcPr>
            <w:tcW w:type="dxa" w:w="4300"/>
          </w:tcPr>
          <w:p>
            <w:pPr>
              <w:spacing w:after="0"/>
              <w:jc w:val="left"/>
            </w:pPr>
            <w:r>
              <w:rPr>
                <w:rFonts w:ascii="Aptos" w:hAnsi="Aptos"/>
                <w:sz w:val="18"/>
                <w:szCs w:val="18"/>
              </w:rPr>
              <w:t xml:space="preserve">Stalno ili svakodnevno</w:t>
            </w:r>
          </w:p>
        </w:tc>
        <w:tc>
          <w:tcPr>
            <w:tcW w:type="dxa" w:w="4400"/>
          </w:tcPr>
          <w:p>
            <w:pPr>
              <w:spacing w:after="0"/>
              <w:jc w:val="left"/>
            </w:pPr>
            <w:r>
              <w:rPr>
                <w:rFonts w:ascii="Aptos" w:hAnsi="Aptos"/>
                <w:sz w:val="18"/>
                <w:szCs w:val="18"/>
              </w:rPr>
              <w:t xml:space="preserve">Vrlo velik; dugotrajna ili nepovratna šteta (npr. more, zaštićeno područje)</w:t>
            </w:r>
          </w:p>
        </w:tc>
      </w:tr>
    </w:tbl>
    <w:p>
      <w:pPr>
        <w:spacing w:after="60" w:before="80"/>
        <w:jc w:val="both"/>
      </w:pPr>
      <w:r>
        <w:rPr>
          <w:rFonts w:ascii="Aptos" w:hAnsi="Aptos"/>
          <w:sz w:val="22"/>
          <w:szCs w:val="22"/>
        </w:rPr>
        <w:t xml:space="preserve">Pri ocjeni ozbiljnosti (P) uzimaju se u obzir opseg i količina, trajanje, povratnost utjecaja i osjetljivost lokacije. Postojeće mjere kontrole uzimaju se u obzir pri ocjeni vjerojatnosti (V).</w:t>
      </w:r>
    </w:p>
    <w:p>
      <w:pPr>
        <w:pStyle w:val="Heading2"/>
      </w:pPr>
      <w:r>
        <w:t xml:space="preserve">Izračun i prag značajnosti</w:t>
      </w:r>
    </w:p>
    <w:p>
      <w:pPr>
        <w:spacing w:after="60"/>
        <w:jc w:val="both"/>
      </w:pPr>
      <w:r>
        <w:rPr>
          <w:rFonts w:ascii="Aptos" w:hAnsi="Aptos"/>
          <w:b/>
          <w:bCs/>
          <w:sz w:val="22"/>
          <w:szCs w:val="22"/>
        </w:rPr>
        <w:t xml:space="preserve">Značajnost: Z = V x P</w:t>
      </w:r>
      <w:r>
        <w:rPr>
          <w:rFonts w:ascii="Aptos" w:hAnsi="Aptos"/>
          <w:sz w:val="22"/>
          <w:szCs w:val="22"/>
        </w:rPr>
        <w:t xml:space="preserve"> (raspon od 1 do 25)</w:t>
      </w:r>
    </w:p>
    <w:p>
      <w:pPr>
        <w:spacing w:after="60"/>
        <w:jc w:val="both"/>
      </w:pPr>
      <w:r>
        <w:rPr>
          <w:rFonts w:ascii="Aptos" w:hAnsi="Aptos"/>
          <w:sz w:val="22"/>
          <w:szCs w:val="22"/>
        </w:rPr>
        <w:t xml:space="preserve">Aspekt je značajan ako je ispunjen barem jedan od sljedećih uvjeta:</w:t>
      </w:r>
    </w:p>
    <w:p>
      <w:pPr>
        <w:numPr>
          <w:ilvl w:val="0"/>
          <w:numId w:val="15"/>
        </w:numPr>
        <w:spacing w:after="60"/>
        <w:jc w:val="both"/>
      </w:pPr>
      <w:r>
        <w:rPr>
          <w:rFonts w:ascii="Aptos" w:hAnsi="Aptos"/>
          <w:b/>
          <w:bCs/>
          <w:sz w:val="22"/>
          <w:szCs w:val="22"/>
        </w:rPr>
        <w:t xml:space="preserve">Z je 10 ili više</w:t>
      </w:r>
      <w:r>
        <w:rPr>
          <w:rFonts w:ascii="Aptos" w:hAnsi="Aptos"/>
          <w:sz w:val="22"/>
          <w:szCs w:val="22"/>
        </w:rPr>
        <w:t xml:space="preserve"> (prag značajnosti, jednak pragu značajnosti rizika u RIZ-IMS-01),</w:t>
      </w:r>
    </w:p>
    <w:p>
      <w:pPr>
        <w:numPr>
          <w:ilvl w:val="0"/>
          <w:numId w:val="15"/>
        </w:numPr>
        <w:spacing w:after="60"/>
        <w:jc w:val="both"/>
      </w:pPr>
      <w:r>
        <w:rPr>
          <w:rFonts w:ascii="Aptos" w:hAnsi="Aptos"/>
          <w:b/>
          <w:bCs/>
          <w:sz w:val="22"/>
          <w:szCs w:val="22"/>
        </w:rPr>
        <w:t xml:space="preserve">P = 5</w:t>
      </w:r>
      <w:r>
        <w:rPr>
          <w:rFonts w:ascii="Aptos" w:hAnsi="Aptos"/>
          <w:sz w:val="22"/>
          <w:szCs w:val="22"/>
        </w:rPr>
        <w:t xml:space="preserve"> bez obzira na vjerojatnost (moguća dugotrajna ili nepovratna šteta),</w:t>
      </w:r>
    </w:p>
    <w:p>
      <w:pPr>
        <w:numPr>
          <w:ilvl w:val="0"/>
          <w:numId w:val="15"/>
        </w:numPr>
        <w:spacing w:after="60"/>
        <w:jc w:val="both"/>
      </w:pPr>
      <w:r>
        <w:rPr>
          <w:rFonts w:ascii="Aptos" w:hAnsi="Aptos"/>
          <w:sz w:val="22"/>
          <w:szCs w:val="22"/>
        </w:rPr>
        <w:t xml:space="preserve">zakonski zahtjev zaštite okoliša povezan s aspektom nije u potpunosti ispunjen (ocjena 1 ili 2 u PUZ-IMS-01),</w:t>
      </w:r>
    </w:p>
    <w:p>
      <w:pPr>
        <w:numPr>
          <w:ilvl w:val="0"/>
          <w:numId w:val="15"/>
        </w:numPr>
        <w:spacing w:after="60"/>
        <w:jc w:val="both"/>
      </w:pPr>
      <w:r>
        <w:rPr>
          <w:rFonts w:ascii="Aptos" w:hAnsi="Aptos"/>
          <w:sz w:val="22"/>
          <w:szCs w:val="22"/>
        </w:rPr>
        <w:t xml:space="preserve">u proteklih 12 mjeseci zaprimljena je opravdana pritužba zainteresirane strane vezana uz aspekt.</w:t>
      </w:r>
    </w:p>
    <w:p>
      <w:pPr>
        <w:spacing w:after="60"/>
        <w:jc w:val="both"/>
      </w:pPr>
      <w:r>
        <w:rPr>
          <w:rFonts w:ascii="Aptos" w:hAnsi="Aptos"/>
          <w:sz w:val="22"/>
          <w:szCs w:val="22"/>
        </w:rPr>
        <w:t xml:space="preserve">Za svaki značajan aspekt u AO-IMS-01 upisuje se kratko obrazloženje ocjene (zašto je odabrana ocjena V i P te koji je uvjet značajnosti ispunjen). Aspekt koji nije značajan, a povezan je sa zakonskim zahtjevom, i dalje se kontrolira kroz RZZ i redovne mjere.</w:t>
      </w:r>
    </w:p>
    <w:p>
      <w:pPr>
        <w:spacing w:after="60" w:before="60"/>
        <w:jc w:val="both"/>
      </w:pPr>
      <w:r>
        <w:rPr>
          <w:rFonts w:ascii="Aptos" w:hAnsi="Aptos"/>
          <w:b/>
          <w:bCs/>
          <w:sz w:val="22"/>
          <w:szCs w:val="22"/>
        </w:rPr>
        <w:t xml:space="preserve">Primjer: </w:t>
      </w:r>
      <w:r>
        <w:rPr>
          <w:rFonts w:ascii="Aptos" w:hAnsi="Aptos"/>
          <w:sz w:val="22"/>
          <w:szCs w:val="22"/>
        </w:rPr>
        <w:t xml:space="preserve">tankiranje stroja na gradilištu, izlijevanje goriva (IS): V = 3 (moguće približno jednom godišnje), P = 4 (onečišćenje tla i oborinske odvodnje koje zahtijeva sanaciju); Z = 12, aspekt je značajan.</w:t>
      </w:r>
    </w:p>
    <w:p>
      <w:pPr>
        <w:pStyle w:val="Heading2"/>
      </w:pPr>
      <w:r>
        <w:t xml:space="preserve">Upis u matricu AO-IMS-01</w:t>
      </w:r>
    </w:p>
    <w:p>
      <w:pPr>
        <w:spacing w:after="60"/>
        <w:jc w:val="both"/>
      </w:pPr>
      <w:r>
        <w:rPr>
          <w:rFonts w:ascii="Aptos" w:hAnsi="Aptos"/>
          <w:sz w:val="22"/>
          <w:szCs w:val="22"/>
        </w:rPr>
        <w:t xml:space="preserve">HSE referent, uz voditelja gradilišta, za svaki aspekt upisuje najmanje:</w:t>
      </w:r>
    </w:p>
    <w:p>
      <w:pPr>
        <w:numPr>
          <w:ilvl w:val="0"/>
          <w:numId w:val="15"/>
        </w:numPr>
        <w:spacing w:after="60"/>
        <w:jc w:val="both"/>
      </w:pPr>
      <w:r>
        <w:rPr>
          <w:rFonts w:ascii="Aptos" w:hAnsi="Aptos"/>
          <w:sz w:val="22"/>
          <w:szCs w:val="22"/>
        </w:rPr>
        <w:t xml:space="preserve">oznaku aspekta (A-xx) i aktivnost ili proces,</w:t>
      </w:r>
    </w:p>
    <w:p>
      <w:pPr>
        <w:numPr>
          <w:ilvl w:val="0"/>
          <w:numId w:val="15"/>
        </w:numPr>
        <w:spacing w:after="60"/>
        <w:jc w:val="both"/>
      </w:pPr>
      <w:r>
        <w:rPr>
          <w:rFonts w:ascii="Aptos" w:hAnsi="Aptos"/>
          <w:sz w:val="22"/>
          <w:szCs w:val="22"/>
        </w:rPr>
        <w:t xml:space="preserve">aspekt okoliša i utjecaj na okoliš,</w:t>
      </w:r>
    </w:p>
    <w:p>
      <w:pPr>
        <w:numPr>
          <w:ilvl w:val="0"/>
          <w:numId w:val="15"/>
        </w:numPr>
        <w:spacing w:after="60"/>
        <w:jc w:val="both"/>
      </w:pPr>
      <w:r>
        <w:rPr>
          <w:rFonts w:ascii="Aptos" w:hAnsi="Aptos"/>
          <w:sz w:val="22"/>
          <w:szCs w:val="22"/>
        </w:rPr>
        <w:t xml:space="preserve">uvjete nastanka (R, I, IS),</w:t>
      </w:r>
    </w:p>
    <w:p>
      <w:pPr>
        <w:numPr>
          <w:ilvl w:val="0"/>
          <w:numId w:val="15"/>
        </w:numPr>
        <w:spacing w:after="60"/>
        <w:jc w:val="both"/>
      </w:pPr>
      <w:r>
        <w:rPr>
          <w:rFonts w:ascii="Aptos" w:hAnsi="Aptos"/>
          <w:sz w:val="22"/>
          <w:szCs w:val="22"/>
        </w:rPr>
        <w:t xml:space="preserve">ocjene V i P, rezultat Z i značajnost (DA/NE),</w:t>
      </w:r>
    </w:p>
    <w:p>
      <w:pPr>
        <w:numPr>
          <w:ilvl w:val="0"/>
          <w:numId w:val="15"/>
        </w:numPr>
        <w:spacing w:after="60"/>
        <w:jc w:val="both"/>
      </w:pPr>
      <w:r>
        <w:rPr>
          <w:rFonts w:ascii="Aptos" w:hAnsi="Aptos"/>
          <w:sz w:val="22"/>
          <w:szCs w:val="22"/>
        </w:rPr>
        <w:t xml:space="preserve">povezani zakonski zahtjev (propis iz RZZ-a),</w:t>
      </w:r>
    </w:p>
    <w:p>
      <w:pPr>
        <w:numPr>
          <w:ilvl w:val="0"/>
          <w:numId w:val="15"/>
        </w:numPr>
        <w:spacing w:after="60"/>
        <w:jc w:val="both"/>
      </w:pPr>
      <w:r>
        <w:rPr>
          <w:rFonts w:ascii="Aptos" w:hAnsi="Aptos"/>
          <w:sz w:val="22"/>
          <w:szCs w:val="22"/>
        </w:rPr>
        <w:t xml:space="preserve">postojeće i planirane mjere kontrole, nositelja (funkciju), rok ili oznaku 'trajno' te status,</w:t>
      </w:r>
    </w:p>
    <w:p>
      <w:pPr>
        <w:numPr>
          <w:ilvl w:val="0"/>
          <w:numId w:val="15"/>
        </w:numPr>
        <w:spacing w:after="60"/>
        <w:jc w:val="both"/>
      </w:pPr>
      <w:r>
        <w:rPr>
          <w:rFonts w:ascii="Aptos" w:hAnsi="Aptos"/>
          <w:sz w:val="22"/>
          <w:szCs w:val="22"/>
        </w:rPr>
        <w:t xml:space="preserve">vezu na rizik ili priliku u RIZ-IMS-01, ako postoji,</w:t>
      </w:r>
    </w:p>
    <w:p>
      <w:pPr>
        <w:numPr>
          <w:ilvl w:val="0"/>
          <w:numId w:val="15"/>
        </w:numPr>
        <w:spacing w:after="60"/>
        <w:jc w:val="both"/>
      </w:pPr>
      <w:r>
        <w:rPr>
          <w:rFonts w:ascii="Aptos" w:hAnsi="Aptos"/>
          <w:sz w:val="22"/>
          <w:szCs w:val="22"/>
        </w:rPr>
        <w:t xml:space="preserve">obrazloženje ocjene za značajne aspekte.</w:t>
      </w:r>
    </w:p>
    <w:p>
      <w:pPr>
        <w:pStyle w:val="Heading2"/>
      </w:pPr>
      <w:r>
        <w:t xml:space="preserve">Planiranje mjera kontrole</w:t>
      </w:r>
    </w:p>
    <w:p>
      <w:pPr>
        <w:spacing w:after="60"/>
        <w:jc w:val="both"/>
      </w:pPr>
      <w:r>
        <w:rPr>
          <w:rFonts w:ascii="Aptos" w:hAnsi="Aptos"/>
          <w:sz w:val="22"/>
          <w:szCs w:val="22"/>
        </w:rPr>
        <w:t xml:space="preserve">Za svaki značajan aspekt planiraju se mjere, primjerice:</w:t>
      </w:r>
    </w:p>
    <w:p>
      <w:pPr>
        <w:numPr>
          <w:ilvl w:val="0"/>
          <w:numId w:val="15"/>
        </w:numPr>
        <w:spacing w:after="60"/>
        <w:jc w:val="both"/>
      </w:pPr>
      <w:r>
        <w:rPr>
          <w:rFonts w:ascii="Aptos" w:hAnsi="Aptos"/>
          <w:sz w:val="22"/>
          <w:szCs w:val="22"/>
        </w:rPr>
        <w:t xml:space="preserve">apsorpcijski materijali, prekrivači slivnika i plutajuće brane na označenom mjestu,</w:t>
      </w:r>
    </w:p>
    <w:p>
      <w:pPr>
        <w:numPr>
          <w:ilvl w:val="0"/>
          <w:numId w:val="15"/>
        </w:numPr>
        <w:spacing w:after="60"/>
        <w:jc w:val="both"/>
      </w:pPr>
      <w:r>
        <w:rPr>
          <w:rFonts w:ascii="Aptos" w:hAnsi="Aptos"/>
          <w:sz w:val="22"/>
          <w:szCs w:val="22"/>
        </w:rPr>
        <w:t xml:space="preserve">prateći listovi i pravilno odvajanje otpada,</w:t>
      </w:r>
    </w:p>
    <w:p>
      <w:pPr>
        <w:numPr>
          <w:ilvl w:val="0"/>
          <w:numId w:val="15"/>
        </w:numPr>
        <w:spacing w:after="60"/>
        <w:jc w:val="both"/>
      </w:pPr>
      <w:r>
        <w:rPr>
          <w:rFonts w:ascii="Aptos" w:hAnsi="Aptos"/>
          <w:sz w:val="22"/>
          <w:szCs w:val="22"/>
        </w:rPr>
        <w:t xml:space="preserve">zaštita od izlijevanja (tankvane, određeno mjesto tankiranja),</w:t>
      </w:r>
    </w:p>
    <w:p>
      <w:pPr>
        <w:numPr>
          <w:ilvl w:val="0"/>
          <w:numId w:val="15"/>
        </w:numPr>
        <w:spacing w:after="60"/>
        <w:jc w:val="both"/>
      </w:pPr>
      <w:r>
        <w:rPr>
          <w:rFonts w:ascii="Aptos" w:hAnsi="Aptos"/>
          <w:sz w:val="22"/>
          <w:szCs w:val="22"/>
        </w:rPr>
        <w:t xml:space="preserve">zabrana pranja strojeva i ispiranja miješalica na nezaštićenom tlu,</w:t>
      </w:r>
    </w:p>
    <w:p>
      <w:pPr>
        <w:numPr>
          <w:ilvl w:val="0"/>
          <w:numId w:val="15"/>
        </w:numPr>
        <w:spacing w:after="60"/>
        <w:jc w:val="both"/>
      </w:pPr>
      <w:r>
        <w:rPr>
          <w:rFonts w:ascii="Aptos" w:hAnsi="Aptos"/>
          <w:sz w:val="22"/>
          <w:szCs w:val="22"/>
        </w:rPr>
        <w:t xml:space="preserve">redovni pregledi strojeva,</w:t>
      </w:r>
    </w:p>
    <w:p>
      <w:pPr>
        <w:numPr>
          <w:ilvl w:val="0"/>
          <w:numId w:val="15"/>
        </w:numPr>
        <w:spacing w:after="60"/>
        <w:jc w:val="both"/>
      </w:pPr>
      <w:r>
        <w:rPr>
          <w:rFonts w:ascii="Aptos" w:hAnsi="Aptos"/>
          <w:sz w:val="22"/>
          <w:szCs w:val="22"/>
        </w:rPr>
        <w:t xml:space="preserve">edukacija zaposlenika i podizvođača,</w:t>
      </w:r>
    </w:p>
    <w:p>
      <w:pPr>
        <w:numPr>
          <w:ilvl w:val="0"/>
          <w:numId w:val="15"/>
        </w:numPr>
        <w:spacing w:after="60"/>
        <w:jc w:val="both"/>
      </w:pPr>
      <w:r>
        <w:rPr>
          <w:rFonts w:ascii="Aptos" w:hAnsi="Aptos"/>
          <w:sz w:val="22"/>
          <w:szCs w:val="22"/>
        </w:rPr>
        <w:t xml:space="preserve">kontrola prašine (vlaženje, prekrivanje) i buke (dopušteno vrijeme rada),</w:t>
      </w:r>
    </w:p>
    <w:p>
      <w:pPr>
        <w:numPr>
          <w:ilvl w:val="0"/>
          <w:numId w:val="15"/>
        </w:numPr>
        <w:spacing w:after="60"/>
        <w:jc w:val="both"/>
      </w:pPr>
      <w:r>
        <w:rPr>
          <w:rFonts w:ascii="Aptos" w:hAnsi="Aptos"/>
          <w:sz w:val="22"/>
          <w:szCs w:val="22"/>
        </w:rPr>
        <w:t xml:space="preserve">postavljanje privremenih spremnika.</w:t>
      </w:r>
    </w:p>
    <w:p>
      <w:pPr>
        <w:spacing w:after="60"/>
        <w:jc w:val="both"/>
      </w:pPr>
      <w:r>
        <w:rPr>
          <w:rFonts w:ascii="Aptos" w:hAnsi="Aptos"/>
          <w:sz w:val="22"/>
          <w:szCs w:val="22"/>
        </w:rPr>
        <w:t xml:space="preserve">Mjere se upisuju u AO-IMS-01 i, prema potrebi, u PKI, PLAN-IIZS, ciljeve (CILJ-IMS-01) i Program poboljšanja (PROG-PB). Rizici koji proizlaze iz značajnih aspekata i obveza usklađenosti upisuju se u RIZ-IMS-01 prema istom kriteriju ocjene.</w:t>
      </w:r>
    </w:p>
    <w:p>
      <w:pPr>
        <w:pStyle w:val="Heading2"/>
      </w:pPr>
      <w:r>
        <w:t xml:space="preserve">Preispitivanje matrice</w:t>
      </w:r>
    </w:p>
    <w:p>
      <w:pPr>
        <w:spacing w:after="60"/>
        <w:jc w:val="both"/>
      </w:pPr>
      <w:r>
        <w:rPr>
          <w:rFonts w:ascii="Aptos" w:hAnsi="Aptos"/>
          <w:sz w:val="22"/>
          <w:szCs w:val="22"/>
        </w:rPr>
        <w:t xml:space="preserve">Matrica AO-IMS-01 preispituje se:</w:t>
      </w:r>
    </w:p>
    <w:p>
      <w:pPr>
        <w:numPr>
          <w:ilvl w:val="0"/>
          <w:numId w:val="15"/>
        </w:numPr>
        <w:spacing w:after="60"/>
        <w:jc w:val="both"/>
      </w:pPr>
      <w:r>
        <w:rPr>
          <w:rFonts w:ascii="Aptos" w:hAnsi="Aptos"/>
          <w:sz w:val="22"/>
          <w:szCs w:val="22"/>
        </w:rPr>
        <w:t xml:space="preserve">pri promjeni djelatnosti, tehnologije ili vrste radova,</w:t>
      </w:r>
    </w:p>
    <w:p>
      <w:pPr>
        <w:numPr>
          <w:ilvl w:val="0"/>
          <w:numId w:val="15"/>
        </w:numPr>
        <w:spacing w:after="60"/>
        <w:jc w:val="both"/>
      </w:pPr>
      <w:r>
        <w:rPr>
          <w:rFonts w:ascii="Aptos" w:hAnsi="Aptos"/>
          <w:sz w:val="22"/>
          <w:szCs w:val="22"/>
        </w:rPr>
        <w:t xml:space="preserve">pri otvaranju novog gradilišta (provjera primjenjivosti i aspekti specifični za lokaciju),</w:t>
      </w:r>
    </w:p>
    <w:p>
      <w:pPr>
        <w:numPr>
          <w:ilvl w:val="0"/>
          <w:numId w:val="15"/>
        </w:numPr>
        <w:spacing w:after="60"/>
        <w:jc w:val="both"/>
      </w:pPr>
      <w:r>
        <w:rPr>
          <w:rFonts w:ascii="Aptos" w:hAnsi="Aptos"/>
          <w:sz w:val="22"/>
          <w:szCs w:val="22"/>
        </w:rPr>
        <w:t xml:space="preserve">pri izmjeni propisa povezanih s aspektima,</w:t>
      </w:r>
    </w:p>
    <w:p>
      <w:pPr>
        <w:numPr>
          <w:ilvl w:val="0"/>
          <w:numId w:val="15"/>
        </w:numPr>
        <w:spacing w:after="60"/>
        <w:jc w:val="both"/>
      </w:pPr>
      <w:r>
        <w:rPr>
          <w:rFonts w:ascii="Aptos" w:hAnsi="Aptos"/>
          <w:sz w:val="22"/>
          <w:szCs w:val="22"/>
        </w:rPr>
        <w:t xml:space="preserve">nakon izvanredne situacije, vježbe pripravnosti ili opravdane pritužbe,</w:t>
      </w:r>
    </w:p>
    <w:p>
      <w:pPr>
        <w:numPr>
          <w:ilvl w:val="0"/>
          <w:numId w:val="15"/>
        </w:numPr>
        <w:spacing w:after="60"/>
        <w:jc w:val="both"/>
      </w:pPr>
      <w:r>
        <w:rPr>
          <w:rFonts w:ascii="Aptos" w:hAnsi="Aptos"/>
          <w:sz w:val="22"/>
          <w:szCs w:val="22"/>
        </w:rPr>
        <w:t xml:space="preserve">najmanje jednom godišnje u sklopu upravine ocjene (PROC-M1).</w:t>
      </w:r>
    </w:p>
    <w:p>
      <w:pPr>
        <w:spacing w:after="60"/>
        <w:jc w:val="both"/>
      </w:pPr>
      <w:r>
        <w:rPr>
          <w:rFonts w:ascii="Aptos" w:hAnsi="Aptos"/>
          <w:sz w:val="22"/>
          <w:szCs w:val="22"/>
        </w:rPr>
        <w:t xml:space="preserve">Pri svakom preispitivanju u matricu se upisuju datum i povod preispitivanja.</w:t>
      </w:r>
    </w:p>
    <w:p>
      <w:pPr>
        <w:pStyle w:val="Heading1"/>
      </w:pPr>
      <w:r>
        <w:t xml:space="preserve">USKLAĐENOST SA ZAKONSKIM I DRUGIM ZAHTJEVIMA (ISO 14001: 6.1.3)</w:t>
      </w:r>
    </w:p>
    <w:p>
      <w:pPr>
        <w:pStyle w:val="Heading2"/>
      </w:pPr>
      <w:r>
        <w:t xml:space="preserve">Identifikacija obveza usklađenosti</w:t>
      </w:r>
    </w:p>
    <w:p>
      <w:pPr>
        <w:spacing w:after="60"/>
        <w:jc w:val="both"/>
      </w:pPr>
      <w:r>
        <w:rPr>
          <w:rFonts w:ascii="Aptos" w:hAnsi="Aptos"/>
          <w:sz w:val="22"/>
          <w:szCs w:val="22"/>
        </w:rPr>
        <w:t xml:space="preserve">TEHMA identificira i prati propise primjenjive na njezine aspekte i djelatnost, osobito iz sljedećih područja:</w:t>
      </w:r>
    </w:p>
    <w:p>
      <w:pPr>
        <w:numPr>
          <w:ilvl w:val="0"/>
          <w:numId w:val="15"/>
        </w:numPr>
        <w:spacing w:after="60"/>
        <w:jc w:val="both"/>
      </w:pPr>
      <w:r>
        <w:rPr>
          <w:rFonts w:ascii="Aptos" w:hAnsi="Aptos"/>
          <w:sz w:val="22"/>
          <w:szCs w:val="22"/>
        </w:rPr>
        <w:t xml:space="preserve">zaštita okoliša (Zakon o zaštiti okoliša),</w:t>
      </w:r>
    </w:p>
    <w:p>
      <w:pPr>
        <w:numPr>
          <w:ilvl w:val="0"/>
          <w:numId w:val="15"/>
        </w:numPr>
        <w:spacing w:after="60"/>
        <w:jc w:val="both"/>
      </w:pPr>
      <w:r>
        <w:rPr>
          <w:rFonts w:ascii="Aptos" w:hAnsi="Aptos"/>
          <w:sz w:val="22"/>
          <w:szCs w:val="22"/>
        </w:rPr>
        <w:t xml:space="preserve">gospodarenje otpadom (Zakon o gospodarenju otpadom i pravilnici o gospodarenju otpadom i građevnim otpadom),</w:t>
      </w:r>
    </w:p>
    <w:p>
      <w:pPr>
        <w:numPr>
          <w:ilvl w:val="0"/>
          <w:numId w:val="15"/>
        </w:numPr>
        <w:spacing w:after="60"/>
        <w:jc w:val="both"/>
      </w:pPr>
      <w:r>
        <w:rPr>
          <w:rFonts w:ascii="Aptos" w:hAnsi="Aptos"/>
          <w:sz w:val="22"/>
          <w:szCs w:val="22"/>
        </w:rPr>
        <w:t xml:space="preserve">zaštita voda i mora (Zakon o vodama),</w:t>
      </w:r>
    </w:p>
    <w:p>
      <w:pPr>
        <w:numPr>
          <w:ilvl w:val="0"/>
          <w:numId w:val="15"/>
        </w:numPr>
        <w:spacing w:after="60"/>
        <w:jc w:val="both"/>
      </w:pPr>
      <w:r>
        <w:rPr>
          <w:rFonts w:ascii="Aptos" w:hAnsi="Aptos"/>
          <w:sz w:val="22"/>
          <w:szCs w:val="22"/>
        </w:rPr>
        <w:t xml:space="preserve">zaštita prirode (Zakon o zaštiti prirode),</w:t>
      </w:r>
    </w:p>
    <w:p>
      <w:pPr>
        <w:numPr>
          <w:ilvl w:val="0"/>
          <w:numId w:val="15"/>
        </w:numPr>
        <w:spacing w:after="60"/>
        <w:jc w:val="both"/>
      </w:pPr>
      <w:r>
        <w:rPr>
          <w:rFonts w:ascii="Aptos" w:hAnsi="Aptos"/>
          <w:sz w:val="22"/>
          <w:szCs w:val="22"/>
        </w:rPr>
        <w:t xml:space="preserve">zaštita zraka i zaštita od buke,</w:t>
      </w:r>
    </w:p>
    <w:p>
      <w:pPr>
        <w:numPr>
          <w:ilvl w:val="0"/>
          <w:numId w:val="15"/>
        </w:numPr>
        <w:spacing w:after="60"/>
        <w:jc w:val="both"/>
      </w:pPr>
      <w:r>
        <w:rPr>
          <w:rFonts w:ascii="Aptos" w:hAnsi="Aptos"/>
          <w:sz w:val="22"/>
          <w:szCs w:val="22"/>
        </w:rPr>
        <w:t xml:space="preserve">gradnja i prostorno uređenje (Zakon o gradnji, Zakon o prostornom uređenju),</w:t>
      </w:r>
    </w:p>
    <w:p>
      <w:pPr>
        <w:numPr>
          <w:ilvl w:val="0"/>
          <w:numId w:val="15"/>
        </w:numPr>
        <w:spacing w:after="60"/>
        <w:jc w:val="both"/>
      </w:pPr>
      <w:r>
        <w:rPr>
          <w:rFonts w:ascii="Aptos" w:hAnsi="Aptos"/>
          <w:sz w:val="22"/>
          <w:szCs w:val="22"/>
        </w:rPr>
        <w:t xml:space="preserve">zaštita od požara,</w:t>
      </w:r>
    </w:p>
    <w:p>
      <w:pPr>
        <w:numPr>
          <w:ilvl w:val="0"/>
          <w:numId w:val="15"/>
        </w:numPr>
        <w:spacing w:after="60"/>
        <w:jc w:val="both"/>
      </w:pPr>
      <w:r>
        <w:rPr>
          <w:rFonts w:ascii="Aptos" w:hAnsi="Aptos"/>
          <w:sz w:val="22"/>
          <w:szCs w:val="22"/>
        </w:rPr>
        <w:t xml:space="preserve">uvjeti iz akata za građenje, zahtjevi investitora i drugi preuzeti zahtjevi.</w:t>
      </w:r>
    </w:p>
    <w:p>
      <w:pPr>
        <w:spacing w:after="60"/>
        <w:jc w:val="both"/>
      </w:pPr>
      <w:r>
        <w:rPr>
          <w:rFonts w:ascii="Aptos" w:hAnsi="Aptos"/>
          <w:sz w:val="22"/>
          <w:szCs w:val="22"/>
        </w:rPr>
        <w:t xml:space="preserve">Točan naziv, važeće izdanje (Narodne novine) i primjenjivi zahtjevi svakog propisa vode se isključivo u RZZ-u (FRM-IMS-08). Drugi dokumenti sustava upućuju na RZZ i ne navode brojeve izdanja propisa, kako bi se izbjegle zastarjele reference.</w:t>
      </w:r>
    </w:p>
    <w:p>
      <w:pPr>
        <w:pStyle w:val="Heading2"/>
      </w:pPr>
      <w:r>
        <w:t xml:space="preserve">Preispitivanje i ažuriranje RZZ</w:t>
      </w:r>
    </w:p>
    <w:p>
      <w:pPr>
        <w:spacing w:after="60"/>
        <w:jc w:val="both"/>
      </w:pPr>
      <w:r>
        <w:rPr>
          <w:rFonts w:ascii="Aptos" w:hAnsi="Aptos"/>
          <w:sz w:val="22"/>
          <w:szCs w:val="22"/>
        </w:rPr>
        <w:t xml:space="preserve">Preispitivanje RZZ-a dodijeljeno je predstavniku uprave (MR), uz sudjelovanje HSE referenta za okolišne propise. RZZ se preispituje:</w:t>
      </w:r>
    </w:p>
    <w:p>
      <w:pPr>
        <w:numPr>
          <w:ilvl w:val="0"/>
          <w:numId w:val="15"/>
        </w:numPr>
        <w:spacing w:after="60"/>
        <w:jc w:val="both"/>
      </w:pPr>
      <w:r>
        <w:rPr>
          <w:rFonts w:ascii="Aptos" w:hAnsi="Aptos"/>
          <w:sz w:val="22"/>
          <w:szCs w:val="22"/>
        </w:rPr>
        <w:t xml:space="preserve">najmanje dvaput godišnje, u razmaku od najviše šest mjeseci,</w:t>
      </w:r>
    </w:p>
    <w:p>
      <w:pPr>
        <w:numPr>
          <w:ilvl w:val="0"/>
          <w:numId w:val="15"/>
        </w:numPr>
        <w:spacing w:after="60"/>
        <w:jc w:val="both"/>
      </w:pPr>
      <w:r>
        <w:rPr>
          <w:rFonts w:ascii="Aptos" w:hAnsi="Aptos"/>
          <w:sz w:val="22"/>
          <w:szCs w:val="22"/>
        </w:rPr>
        <w:t xml:space="preserve">uvijek pri saznanju o izmjeni ili donošenju propisa (objava u Narodnim novinama, obavijest investitora, stručnih udruga ili nadležnih tijela),</w:t>
      </w:r>
    </w:p>
    <w:p>
      <w:pPr>
        <w:numPr>
          <w:ilvl w:val="0"/>
          <w:numId w:val="15"/>
        </w:numPr>
        <w:spacing w:after="60"/>
        <w:jc w:val="both"/>
      </w:pPr>
      <w:r>
        <w:rPr>
          <w:rFonts w:ascii="Aptos" w:hAnsi="Aptos"/>
          <w:sz w:val="22"/>
          <w:szCs w:val="22"/>
        </w:rPr>
        <w:t xml:space="preserve">pri promjeni djelatnosti ili početku radova nove vrste.</w:t>
      </w:r>
    </w:p>
    <w:p>
      <w:pPr>
        <w:spacing w:after="60"/>
        <w:jc w:val="both"/>
      </w:pPr>
      <w:r>
        <w:rPr>
          <w:rFonts w:ascii="Aptos" w:hAnsi="Aptos"/>
          <w:sz w:val="22"/>
          <w:szCs w:val="22"/>
        </w:rPr>
        <w:t xml:space="preserve">Za svaki propis vodi se: naziv i važeće izdanje, zahtjev (što propis traži od TEHMA-e), primjenjivost, odgovorna osoba, dokaz usklađenosti (npr. očevidnik otpada, prateći listovi, PKI, zapisnici) te datum zadnje provjere ažurnosti. Datum zadnje provjere upisuje se po svakom propisu pri svakom preispitivanju. Izmjene propisa prenose se u povezane dokumente (Priručnik, procedure, AO-IMS-01, RIZ-IMS-01).</w:t>
      </w:r>
    </w:p>
    <w:p>
      <w:pPr>
        <w:pStyle w:val="Heading2"/>
      </w:pPr>
      <w:r>
        <w:t xml:space="preserve">Procjena usklađenosti (PUZ)</w:t>
      </w:r>
    </w:p>
    <w:p>
      <w:pPr>
        <w:spacing w:after="60"/>
        <w:jc w:val="both"/>
      </w:pPr>
      <w:r>
        <w:rPr>
          <w:rFonts w:ascii="Aptos" w:hAnsi="Aptos"/>
          <w:sz w:val="22"/>
          <w:szCs w:val="22"/>
        </w:rPr>
        <w:t xml:space="preserve">Procjena usklađenosti provodi se najmanje jednom godišnje, prije upravine ocjene, te nakon svake bitne izmjene RZZ-a:</w:t>
      </w:r>
    </w:p>
    <w:p>
      <w:pPr>
        <w:pStyle w:val="ListParagraph"/>
        <w:numPr>
          <w:ilvl w:val="0"/>
          <w:numId w:val="31"/>
        </w:numPr>
        <w:spacing w:after="60"/>
        <w:jc w:val="both"/>
      </w:pPr>
      <w:r>
        <w:rPr>
          <w:rFonts w:ascii="Aptos" w:hAnsi="Aptos"/>
          <w:sz w:val="22"/>
          <w:szCs w:val="22"/>
        </w:rPr>
        <w:t xml:space="preserve">MR provjerava ispunjenje svakog zahtjeva iz RZZ-a na temelju dokaza.</w:t>
      </w:r>
    </w:p>
    <w:p>
      <w:pPr>
        <w:pStyle w:val="ListParagraph"/>
        <w:numPr>
          <w:ilvl w:val="0"/>
          <w:numId w:val="31"/>
        </w:numPr>
        <w:spacing w:after="60"/>
        <w:jc w:val="both"/>
      </w:pPr>
      <w:r>
        <w:rPr>
          <w:rFonts w:ascii="Aptos" w:hAnsi="Aptos"/>
          <w:sz w:val="22"/>
          <w:szCs w:val="22"/>
        </w:rPr>
        <w:t xml:space="preserve">Ocjenjuje usklađenost: 1 - neusklađeno, 2 - djelomično usklađeno, 3 - usklađeno.</w:t>
      </w:r>
    </w:p>
    <w:p>
      <w:pPr>
        <w:pStyle w:val="ListParagraph"/>
        <w:numPr>
          <w:ilvl w:val="0"/>
          <w:numId w:val="31"/>
        </w:numPr>
        <w:spacing w:after="60"/>
        <w:jc w:val="both"/>
      </w:pPr>
      <w:r>
        <w:rPr>
          <w:rFonts w:ascii="Aptos" w:hAnsi="Aptos"/>
          <w:sz w:val="22"/>
          <w:szCs w:val="22"/>
        </w:rPr>
        <w:t xml:space="preserve">Za ocjenu 1 ili 2 pokreće se korektivna radnja prema PROC-IMS-02 i preispituje značajnost povezanog aspekta (točka 5.5).</w:t>
      </w:r>
    </w:p>
    <w:p>
      <w:pPr>
        <w:pStyle w:val="ListParagraph"/>
        <w:numPr>
          <w:ilvl w:val="0"/>
          <w:numId w:val="31"/>
        </w:numPr>
        <w:spacing w:after="60"/>
        <w:jc w:val="both"/>
      </w:pPr>
      <w:r>
        <w:rPr>
          <w:rFonts w:ascii="Aptos" w:hAnsi="Aptos"/>
          <w:sz w:val="22"/>
          <w:szCs w:val="22"/>
        </w:rPr>
        <w:t xml:space="preserve">Rezultati se upisuju u PUZ-IMS-01. Ocjena usklađenosti s obvezama usklađenosti obvezan je ulazni podatak upravine ocjene (PROC-M1).</w:t>
      </w:r>
    </w:p>
    <w:p>
      <w:pPr>
        <w:pStyle w:val="Heading1"/>
      </w:pPr>
      <w:r>
        <w:t xml:space="preserve">POVEZANOST S REGISTROM RIZIKA I INTERNIM AUDITOM</w:t>
      </w:r>
    </w:p>
    <w:p>
      <w:pPr>
        <w:spacing w:after="60"/>
        <w:jc w:val="both"/>
      </w:pPr>
      <w:r>
        <w:rPr>
          <w:rFonts w:ascii="Aptos" w:hAnsi="Aptos"/>
          <w:sz w:val="22"/>
          <w:szCs w:val="22"/>
        </w:rPr>
        <w:t xml:space="preserve">Matrica aspekata (AO-IMS-01), registar rizika i prilika (RIZ-IMS-01) i registar zakonskih zahtjeva (FRM-IMS-08) moraju biti međusobno usklađeni:</w:t>
      </w:r>
    </w:p>
    <w:p>
      <w:pPr>
        <w:numPr>
          <w:ilvl w:val="0"/>
          <w:numId w:val="15"/>
        </w:numPr>
        <w:spacing w:after="60"/>
        <w:jc w:val="both"/>
      </w:pPr>
      <w:r>
        <w:rPr>
          <w:rFonts w:ascii="Aptos" w:hAnsi="Aptos"/>
          <w:sz w:val="22"/>
          <w:szCs w:val="22"/>
        </w:rPr>
        <w:t xml:space="preserve">za značajne aspekte s uvjetima IS ili s mogućim ozbiljnim posljedicama postoji odgovarajući rizik u RIZ-IMS-01,</w:t>
      </w:r>
    </w:p>
    <w:p>
      <w:pPr>
        <w:numPr>
          <w:ilvl w:val="0"/>
          <w:numId w:val="15"/>
        </w:numPr>
        <w:spacing w:after="60"/>
        <w:jc w:val="both"/>
      </w:pPr>
      <w:r>
        <w:rPr>
          <w:rFonts w:ascii="Aptos" w:hAnsi="Aptos"/>
          <w:sz w:val="22"/>
          <w:szCs w:val="22"/>
        </w:rPr>
        <w:t xml:space="preserve">propisi navedeni uz aspekte u AO-IMS-01 upisani su u RZZ,</w:t>
      </w:r>
    </w:p>
    <w:p>
      <w:pPr>
        <w:numPr>
          <w:ilvl w:val="0"/>
          <w:numId w:val="15"/>
        </w:numPr>
        <w:spacing w:after="60"/>
        <w:jc w:val="both"/>
      </w:pPr>
      <w:r>
        <w:rPr>
          <w:rFonts w:ascii="Aptos" w:hAnsi="Aptos"/>
          <w:sz w:val="22"/>
          <w:szCs w:val="22"/>
        </w:rPr>
        <w:t xml:space="preserve">isti prag značajnosti (10) primjenjuje se za aspekte i za rizike.</w:t>
      </w:r>
    </w:p>
    <w:p>
      <w:pPr>
        <w:spacing w:after="60"/>
        <w:jc w:val="both"/>
      </w:pPr>
      <w:r>
        <w:rPr>
          <w:rFonts w:ascii="Aptos" w:hAnsi="Aptos"/>
          <w:sz w:val="22"/>
          <w:szCs w:val="22"/>
        </w:rPr>
        <w:t xml:space="preserve">Provjera međusobne usklađenosti ta tri dokumenta i ažurnosti RZZ-a (datum zadnje provjere po propisu) dio je checkliste internog audita (OBR-IA-IMS-01) i provodi se u svakom internom auditu.</w:t>
      </w:r>
    </w:p>
    <w:p>
      <w:pPr>
        <w:pStyle w:val="Heading1"/>
      </w:pPr>
      <w:r>
        <w:t xml:space="preserve">ZAPISI</w:t>
      </w:r>
    </w:p>
    <w:p>
      <w:pPr>
        <w:numPr>
          <w:ilvl w:val="0"/>
          <w:numId w:val="15"/>
        </w:numPr>
        <w:spacing w:after="60"/>
        <w:jc w:val="both"/>
      </w:pPr>
      <w:r>
        <w:rPr>
          <w:rFonts w:ascii="Aptos" w:hAnsi="Aptos"/>
          <w:sz w:val="22"/>
          <w:szCs w:val="22"/>
        </w:rPr>
        <w:t xml:space="preserve">AO-IMS-01 Matrica aspekata i rizika okoliša (s obrazloženjima i zapisom preispitivanja)</w:t>
      </w:r>
    </w:p>
    <w:p>
      <w:pPr>
        <w:numPr>
          <w:ilvl w:val="0"/>
          <w:numId w:val="15"/>
        </w:numPr>
        <w:spacing w:after="60"/>
        <w:jc w:val="both"/>
      </w:pPr>
      <w:r>
        <w:rPr>
          <w:rFonts w:ascii="Aptos" w:hAnsi="Aptos"/>
          <w:sz w:val="22"/>
          <w:szCs w:val="22"/>
        </w:rPr>
        <w:t xml:space="preserve">FRM-IMS-08 Registar zakonskih zahtjeva (RZZ)</w:t>
      </w:r>
    </w:p>
    <w:p>
      <w:pPr>
        <w:numPr>
          <w:ilvl w:val="0"/>
          <w:numId w:val="15"/>
        </w:numPr>
        <w:spacing w:after="60"/>
        <w:jc w:val="both"/>
      </w:pPr>
      <w:r>
        <w:rPr>
          <w:rFonts w:ascii="Aptos" w:hAnsi="Aptos"/>
          <w:sz w:val="22"/>
          <w:szCs w:val="22"/>
        </w:rPr>
        <w:t xml:space="preserve">PUZ-IMS-01 Procjena usklađenosti</w:t>
      </w:r>
    </w:p>
    <w:p>
      <w:pPr>
        <w:numPr>
          <w:ilvl w:val="0"/>
          <w:numId w:val="15"/>
        </w:numPr>
        <w:spacing w:after="60"/>
        <w:jc w:val="both"/>
      </w:pPr>
      <w:r>
        <w:rPr>
          <w:rFonts w:ascii="Aptos" w:hAnsi="Aptos"/>
          <w:sz w:val="22"/>
          <w:szCs w:val="22"/>
        </w:rPr>
        <w:t xml:space="preserve">RIZ-IMS-01 Registar rizika i prilika</w:t>
      </w:r>
    </w:p>
    <w:p>
      <w:pPr>
        <w:numPr>
          <w:ilvl w:val="0"/>
          <w:numId w:val="15"/>
        </w:numPr>
        <w:spacing w:after="60"/>
        <w:jc w:val="both"/>
      </w:pPr>
      <w:r>
        <w:rPr>
          <w:rFonts w:ascii="Aptos" w:hAnsi="Aptos"/>
          <w:sz w:val="22"/>
          <w:szCs w:val="22"/>
        </w:rPr>
        <w:t xml:space="preserve">PKI (aspekti uključeni u kontrolne točke)</w:t>
      </w:r>
    </w:p>
    <w:p>
      <w:pPr>
        <w:numPr>
          <w:ilvl w:val="0"/>
          <w:numId w:val="15"/>
        </w:numPr>
        <w:spacing w:after="60"/>
        <w:jc w:val="both"/>
      </w:pPr>
      <w:r>
        <w:rPr>
          <w:rFonts w:ascii="Aptos" w:hAnsi="Aptos"/>
          <w:sz w:val="22"/>
          <w:szCs w:val="22"/>
        </w:rPr>
        <w:t xml:space="preserve">Očevidnik otpada (FRM-IMS-07) i prateći listovi</w:t>
      </w:r>
    </w:p>
    <w:p>
      <w:pPr>
        <w:numPr>
          <w:ilvl w:val="0"/>
          <w:numId w:val="15"/>
        </w:numPr>
        <w:spacing w:after="60"/>
        <w:jc w:val="both"/>
      </w:pPr>
      <w:r>
        <w:rPr>
          <w:rFonts w:ascii="Aptos" w:hAnsi="Aptos"/>
          <w:sz w:val="22"/>
          <w:szCs w:val="22"/>
        </w:rPr>
        <w:t xml:space="preserve">Zapisnici nadzora HSE referenta (FRM-IMS-02, FRM-IMS-18)</w:t>
      </w:r>
    </w:p>
    <w:p>
      <w:pPr>
        <w:numPr>
          <w:ilvl w:val="0"/>
          <w:numId w:val="15"/>
        </w:numPr>
        <w:spacing w:after="60"/>
        <w:jc w:val="both"/>
      </w:pPr>
      <w:r>
        <w:rPr>
          <w:rFonts w:ascii="Aptos" w:hAnsi="Aptos"/>
          <w:sz w:val="22"/>
          <w:szCs w:val="22"/>
        </w:rPr>
        <w:t xml:space="preserve">Zapisnici vježbi pripravnosti (FRM-IMS-19)</w:t>
      </w:r>
    </w:p>
    <w:p>
      <w:pPr>
        <w:numPr>
          <w:ilvl w:val="0"/>
          <w:numId w:val="15"/>
        </w:numPr>
        <w:spacing w:after="60"/>
        <w:jc w:val="both"/>
      </w:pPr>
      <w:r>
        <w:rPr>
          <w:rFonts w:ascii="Aptos" w:hAnsi="Aptos"/>
          <w:sz w:val="22"/>
          <w:szCs w:val="22"/>
        </w:rPr>
        <w:t xml:space="preserve">Prijave nesukladnosti i korektivne radnje iz područja okoliša</w:t>
      </w:r>
    </w:p>
    <w:p>
      <w:pPr>
        <w:spacing w:after="60" w:before="80"/>
        <w:jc w:val="both"/>
      </w:pPr>
      <w:r>
        <w:rPr>
          <w:rFonts w:ascii="Aptos" w:hAnsi="Aptos"/>
          <w:sz w:val="22"/>
          <w:szCs w:val="22"/>
        </w:rPr>
        <w:t xml:space="preserve">Rok čuvanja: najmanje 10 godina.</w:t>
      </w:r>
    </w:p>
    <w:p>
      <w:pPr>
        <w:pStyle w:val="Heading1"/>
      </w:pPr>
      <w:r>
        <w:t xml:space="preserve">POVEZANI DOKUMENTI</w:t>
      </w:r>
    </w:p>
    <w:p>
      <w:pPr>
        <w:numPr>
          <w:ilvl w:val="0"/>
          <w:numId w:val="15"/>
        </w:numPr>
        <w:spacing w:after="60"/>
        <w:jc w:val="both"/>
      </w:pPr>
      <w:r>
        <w:rPr>
          <w:rFonts w:ascii="Aptos" w:hAnsi="Aptos"/>
          <w:sz w:val="22"/>
          <w:szCs w:val="22"/>
        </w:rPr>
        <w:t xml:space="preserve">PRIR-IMS-01 Priručnik integriranog sustava upravljanja</w:t>
      </w:r>
    </w:p>
    <w:p>
      <w:pPr>
        <w:numPr>
          <w:ilvl w:val="0"/>
          <w:numId w:val="15"/>
        </w:numPr>
        <w:spacing w:after="60"/>
        <w:jc w:val="both"/>
      </w:pPr>
      <w:r>
        <w:rPr>
          <w:rFonts w:ascii="Aptos" w:hAnsi="Aptos"/>
          <w:sz w:val="22"/>
          <w:szCs w:val="22"/>
        </w:rPr>
        <w:t xml:space="preserve">PROC-IMS-02 Upravljanje nesukladnostima i korektivnim radnjama</w:t>
      </w:r>
    </w:p>
    <w:p>
      <w:pPr>
        <w:numPr>
          <w:ilvl w:val="0"/>
          <w:numId w:val="15"/>
        </w:numPr>
        <w:spacing w:after="60"/>
        <w:jc w:val="both"/>
      </w:pPr>
      <w:r>
        <w:rPr>
          <w:rFonts w:ascii="Aptos" w:hAnsi="Aptos"/>
          <w:sz w:val="22"/>
          <w:szCs w:val="22"/>
        </w:rPr>
        <w:t xml:space="preserve">PROC-IMS-05 Planiranje i izvođenje radova (PKI)</w:t>
      </w:r>
    </w:p>
    <w:p>
      <w:pPr>
        <w:numPr>
          <w:ilvl w:val="0"/>
          <w:numId w:val="15"/>
        </w:numPr>
        <w:spacing w:after="60"/>
        <w:jc w:val="both"/>
      </w:pPr>
      <w:r>
        <w:rPr>
          <w:rFonts w:ascii="Aptos" w:hAnsi="Aptos"/>
          <w:sz w:val="22"/>
          <w:szCs w:val="22"/>
        </w:rPr>
        <w:t xml:space="preserve">PROC-IMS-08 Gospodarenje otpadom</w:t>
      </w:r>
    </w:p>
    <w:p>
      <w:pPr>
        <w:numPr>
          <w:ilvl w:val="0"/>
          <w:numId w:val="15"/>
        </w:numPr>
        <w:spacing w:after="60"/>
        <w:jc w:val="both"/>
      </w:pPr>
      <w:r>
        <w:rPr>
          <w:rFonts w:ascii="Aptos" w:hAnsi="Aptos"/>
          <w:sz w:val="22"/>
          <w:szCs w:val="22"/>
        </w:rPr>
        <w:t xml:space="preserve">PROC-IMS-09 Pripravnost i odgovor u izvanrednim situacijama; PLAN-IIZS</w:t>
      </w:r>
    </w:p>
    <w:p>
      <w:pPr>
        <w:numPr>
          <w:ilvl w:val="0"/>
          <w:numId w:val="15"/>
        </w:numPr>
        <w:spacing w:after="60"/>
        <w:jc w:val="both"/>
      </w:pPr>
      <w:r>
        <w:rPr>
          <w:rFonts w:ascii="Aptos" w:hAnsi="Aptos"/>
          <w:sz w:val="22"/>
          <w:szCs w:val="22"/>
        </w:rPr>
        <w:t xml:space="preserve">PROC-M1 Upravina ocjena</w:t>
      </w:r>
    </w:p>
    <w:p>
      <w:pPr>
        <w:numPr>
          <w:ilvl w:val="0"/>
          <w:numId w:val="15"/>
        </w:numPr>
        <w:spacing w:after="60"/>
        <w:jc w:val="both"/>
      </w:pPr>
      <w:r>
        <w:rPr>
          <w:rFonts w:ascii="Aptos" w:hAnsi="Aptos"/>
          <w:sz w:val="22"/>
          <w:szCs w:val="22"/>
        </w:rPr>
        <w:t xml:space="preserve">AO-IMS-01, RIZ-IMS-01, FRM-IMS-08, PUZ-IMS-01, OBR-IA-IMS-01</w:t>
      </w:r>
    </w:p>
    <w:p>
      <w:pPr>
        <w:keepNext/>
        <w:spacing w:after="60" w:before="160"/>
        <w:jc w:val="both"/>
      </w:pPr>
      <w:r>
        <w:rPr>
          <w:rFonts w:ascii="Aptos" w:hAnsi="Aptos"/>
          <w:b/>
          <w:bCs/>
          <w:sz w:val="22"/>
          <w:szCs w:val="22"/>
        </w:rPr>
        <w:t xml:space="preserve">Odobrenje</w:t>
      </w:r>
    </w:p>
    <w:tbl>
      <w:tblPr>
        <w:tblStyle w:val="GridTable3-Accent2"/>
        <w:tblW w:w="9600" w:type="dxa"/>
        <w:tblLayout w:type="fixed"/>
        <w:tblLook w:firstColumn="0" w:firstRow="1" w:lastColumn="0" w:lastRow="0" w:noHBand="0" w:noVBand="1" w:val="04A0"/>
      </w:tblPr>
      <w:tblGrid>
        <w:gridCol w:w="3300"/>
        <w:gridCol w:w="2900"/>
        <w:gridCol w:w="2200"/>
        <w:gridCol w:w="1200"/>
      </w:tblGrid>
      <w:tr>
        <w:trPr>
          <w:cantSplit/>
          <w:tblHeader/>
        </w:trPr>
        <w:tc>
          <w:tcPr>
            <w:tcW w:type="dxa" w:w="3300"/>
          </w:tcPr>
          <w:p>
            <w:pPr>
              <w:spacing w:after="0"/>
              <w:jc w:val="left"/>
            </w:pPr>
            <w:r>
              <w:rPr>
                <w:rFonts w:ascii="Aptos" w:hAnsi="Aptos"/>
                <w:b/>
                <w:bCs/>
                <w:sz w:val="18"/>
                <w:szCs w:val="18"/>
              </w:rPr>
              <w:t xml:space="preserve">Uloga</w:t>
            </w:r>
          </w:p>
        </w:tc>
        <w:tc>
          <w:tcPr>
            <w:tcW w:type="dxa" w:w="2900"/>
          </w:tcPr>
          <w:p>
            <w:pPr>
              <w:spacing w:after="0"/>
              <w:jc w:val="left"/>
            </w:pPr>
            <w:r>
              <w:rPr>
                <w:rFonts w:ascii="Aptos" w:hAnsi="Aptos"/>
                <w:b/>
                <w:bCs/>
                <w:sz w:val="18"/>
                <w:szCs w:val="18"/>
              </w:rPr>
              <w:t xml:space="preserve">Ime i prezime</w:t>
            </w:r>
          </w:p>
        </w:tc>
        <w:tc>
          <w:tcPr>
            <w:tcW w:type="dxa" w:w="2200"/>
          </w:tcPr>
          <w:p>
            <w:pPr>
              <w:spacing w:after="0"/>
              <w:jc w:val="left"/>
            </w:pPr>
            <w:r>
              <w:rPr>
                <w:rFonts w:ascii="Aptos" w:hAnsi="Aptos"/>
                <w:b/>
                <w:bCs/>
                <w:sz w:val="18"/>
                <w:szCs w:val="18"/>
              </w:rPr>
              <w:t xml:space="preserve">Potpis</w:t>
            </w:r>
          </w:p>
        </w:tc>
        <w:tc>
          <w:tcPr>
            <w:tcW w:type="dxa" w:w="1200"/>
          </w:tcPr>
          <w:p>
            <w:pPr>
              <w:spacing w:after="0"/>
              <w:jc w:val="left"/>
            </w:pPr>
            <w:r>
              <w:rPr>
                <w:rFonts w:ascii="Aptos" w:hAnsi="Aptos"/>
                <w:b/>
                <w:bCs/>
                <w:sz w:val="18"/>
                <w:szCs w:val="18"/>
              </w:rPr>
              <w:t xml:space="preserve">Datum</w:t>
            </w:r>
          </w:p>
        </w:tc>
      </w:tr>
      <w:tr>
        <w:trPr>
          <w:cantSplit/>
        </w:trPr>
        <w:tc>
          <w:tcPr>
            <w:tcW w:type="dxa" w:w="3300"/>
          </w:tcPr>
          <w:p>
            <w:pPr>
              <w:spacing w:after="0"/>
              <w:jc w:val="left"/>
            </w:pPr>
            <w:r>
              <w:rPr>
                <w:rFonts w:ascii="Aptos" w:hAnsi="Aptos"/>
                <w:sz w:val="18"/>
                <w:szCs w:val="18"/>
              </w:rPr>
              <w:t xml:space="preserve">Izradio: Predstavnik uprave (MR)</w:t>
            </w:r>
          </w:p>
        </w:tc>
        <w:tc>
          <w:tcPr>
            <w:tcW w:type="dxa" w:w="2900"/>
          </w:tcPr>
          <w:p>
            <w:pPr>
              <w:spacing w:after="0"/>
              <w:jc w:val="left"/>
            </w:pPr>
            <w:r>
              <w:rPr>
                <w:rFonts w:ascii="Aptos" w:hAnsi="Aptos"/>
                <w:sz w:val="18"/>
                <w:szCs w:val="18"/>
              </w:rPr>
              <w:t xml:space="preserve">Rinalda Kalmeta</w:t>
            </w:r>
          </w:p>
        </w:tc>
        <w:tc>
          <w:tcPr>
            <w:tcW w:type="dxa" w:w="2200"/>
          </w:tcPr>
          <w:p>
            <w:pPr>
              <w:spacing w:after="0"/>
              <w:jc w:val="left"/>
            </w:pPr>
            <w:r>
              <w:rPr>
                <w:rFonts w:ascii="Aptos" w:hAnsi="Aptos"/>
                <w:sz w:val="18"/>
                <w:szCs w:val="18"/>
              </w:rPr>
              <w:t xml:space="preserve"/>
            </w:r>
          </w:p>
        </w:tc>
        <w:tc>
          <w:tcPr>
            <w:tcW w:type="dxa" w:w="1200"/>
          </w:tcPr>
          <w:p>
            <w:pPr>
              <w:spacing w:after="0"/>
              <w:jc w:val="left"/>
            </w:pPr>
            <w:r>
              <w:rPr>
                <w:rFonts w:ascii="Aptos" w:hAnsi="Aptos"/>
                <w:sz w:val="18"/>
                <w:szCs w:val="18"/>
              </w:rPr>
              <w:t xml:space="preserve"/>
            </w:r>
          </w:p>
        </w:tc>
      </w:tr>
      <w:tr>
        <w:trPr>
          <w:cantSplit/>
        </w:trPr>
        <w:tc>
          <w:tcPr>
            <w:tcW w:type="dxa" w:w="3300"/>
          </w:tcPr>
          <w:p>
            <w:pPr>
              <w:spacing w:after="0"/>
              <w:jc w:val="left"/>
            </w:pPr>
            <w:r>
              <w:rPr>
                <w:rFonts w:ascii="Aptos" w:hAnsi="Aptos"/>
                <w:sz w:val="18"/>
                <w:szCs w:val="18"/>
              </w:rPr>
              <w:t xml:space="preserve">Pregledao: HSE referent</w:t>
            </w:r>
          </w:p>
        </w:tc>
        <w:tc>
          <w:tcPr>
            <w:tcW w:type="dxa" w:w="2900"/>
          </w:tcPr>
          <w:p>
            <w:pPr>
              <w:spacing w:after="0"/>
              <w:jc w:val="left"/>
            </w:pPr>
            <w:r>
              <w:rPr>
                <w:rFonts w:ascii="Aptos" w:hAnsi="Aptos"/>
                <w:sz w:val="18"/>
                <w:szCs w:val="18"/>
              </w:rPr>
              <w:t xml:space="preserve">Krešimir Peša, dipl. ing.</w:t>
            </w:r>
          </w:p>
        </w:tc>
        <w:tc>
          <w:tcPr>
            <w:tcW w:type="dxa" w:w="2200"/>
          </w:tcPr>
          <w:p>
            <w:pPr>
              <w:spacing w:after="0"/>
              <w:jc w:val="left"/>
            </w:pPr>
            <w:r>
              <w:rPr>
                <w:rFonts w:ascii="Aptos" w:hAnsi="Aptos"/>
                <w:sz w:val="18"/>
                <w:szCs w:val="18"/>
              </w:rPr>
              <w:t xml:space="preserve"/>
            </w:r>
          </w:p>
        </w:tc>
        <w:tc>
          <w:tcPr>
            <w:tcW w:type="dxa" w:w="1200"/>
          </w:tcPr>
          <w:p>
            <w:pPr>
              <w:spacing w:after="0"/>
              <w:jc w:val="left"/>
            </w:pPr>
            <w:r>
              <w:rPr>
                <w:rFonts w:ascii="Aptos" w:hAnsi="Aptos"/>
                <w:sz w:val="18"/>
                <w:szCs w:val="18"/>
              </w:rPr>
              <w:t xml:space="preserve"/>
            </w:r>
          </w:p>
        </w:tc>
      </w:tr>
      <w:tr>
        <w:trPr>
          <w:cantSplit/>
        </w:trPr>
        <w:tc>
          <w:tcPr>
            <w:tcW w:type="dxa" w:w="3300"/>
          </w:tcPr>
          <w:p>
            <w:pPr>
              <w:spacing w:after="0"/>
              <w:jc w:val="left"/>
            </w:pPr>
            <w:r>
              <w:rPr>
                <w:rFonts w:ascii="Aptos" w:hAnsi="Aptos"/>
                <w:sz w:val="18"/>
                <w:szCs w:val="18"/>
              </w:rPr>
              <w:t xml:space="preserve">Odobrio: Direktor</w:t>
            </w:r>
          </w:p>
        </w:tc>
        <w:tc>
          <w:tcPr>
            <w:tcW w:type="dxa" w:w="2900"/>
          </w:tcPr>
          <w:p>
            <w:pPr>
              <w:spacing w:after="0"/>
              <w:jc w:val="left"/>
            </w:pPr>
            <w:r>
              <w:rPr>
                <w:rFonts w:ascii="Aptos" w:hAnsi="Aptos"/>
                <w:sz w:val="18"/>
                <w:szCs w:val="18"/>
              </w:rPr>
              <w:t xml:space="preserve">Ivan Mažer</w:t>
            </w:r>
          </w:p>
        </w:tc>
        <w:tc>
          <w:tcPr>
            <w:tcW w:type="dxa" w:w="2200"/>
          </w:tcPr>
          <w:p>
            <w:pPr>
              <w:spacing w:after="0"/>
              <w:jc w:val="left"/>
            </w:pPr>
            <w:r>
              <w:rPr>
                <w:rFonts w:ascii="Aptos" w:hAnsi="Aptos"/>
                <w:sz w:val="18"/>
                <w:szCs w:val="18"/>
              </w:rPr>
              <w:t xml:space="preserve"/>
            </w:r>
          </w:p>
        </w:tc>
        <w:tc>
          <w:tcPr>
            <w:tcW w:type="dxa" w:w="1200"/>
          </w:tcPr>
          <w:p>
            <w:pPr>
              <w:spacing w:after="0"/>
              <w:jc w:val="left"/>
            </w:pPr>
            <w:r>
              <w:rPr>
                <w:rFonts w:ascii="Aptos" w:hAnsi="Aptos"/>
                <w:sz w:val="18"/>
                <w:szCs w:val="18"/>
              </w:rPr>
              <w:t xml:space="preserve"/>
            </w:r>
          </w:p>
        </w:tc>
      </w:tr>
    </w:tbl>
    <w:sectPr w:rsidR="005A32B6" w:rsidRPr="005A32B6" w:rsidSect="00137813">
      <w:headerReference w:type="default" r:id="rId8"/>
      <w:footerReference w:type="default" r:id="rId9"/>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C0B2" w14:textId="77777777" w:rsidR="007220C0" w:rsidRDefault="007220C0" w:rsidP="00E637EC">
      <w:r>
        <w:separator/>
      </w:r>
    </w:p>
  </w:endnote>
  <w:endnote w:type="continuationSeparator" w:id="0">
    <w:p w14:paraId="7BB8B8CD" w14:textId="77777777" w:rsidR="007220C0" w:rsidRDefault="007220C0" w:rsidP="00E63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913F" w14:textId="45F0E508" w:rsidR="00E637EC" w:rsidRDefault="009C5215" w:rsidP="00E637EC">
    <w:pPr>
      <w:pStyle w:val="Footer"/>
    </w:pPr>
    <w:r>
      <w:rPr>
        <w:noProof/>
        <w14:ligatures w14:val="standardContextual"/>
      </w:rPr>
      <mc:AlternateContent>
        <mc:Choice Requires="wps">
          <w:drawing>
            <wp:anchor distT="0" distB="0" distL="114300" distR="114300" simplePos="0" relativeHeight="251660288" behindDoc="0" locked="0" layoutInCell="1" allowOverlap="1" wp14:anchorId="2DA54BEE" wp14:editId="1BFA11D5">
              <wp:simplePos x="0" y="0"/>
              <wp:positionH relativeFrom="column">
                <wp:posOffset>347</wp:posOffset>
              </wp:positionH>
              <wp:positionV relativeFrom="paragraph">
                <wp:posOffset>-168852</wp:posOffset>
              </wp:positionV>
              <wp:extent cx="6199505" cy="361315"/>
              <wp:effectExtent l="0" t="0" r="0" b="6985"/>
              <wp:wrapNone/>
              <wp:docPr id="1312485332" name="Text Box 39"/>
              <wp:cNvGraphicFramePr/>
              <a:graphic xmlns:a="http://schemas.openxmlformats.org/drawingml/2006/main">
                <a:graphicData uri="http://schemas.microsoft.com/office/word/2010/wordprocessingShape">
                  <wps:wsp>
                    <wps:cNvSpPr txBox="1"/>
                    <wps:spPr>
                      <a:xfrm>
                        <a:off x="0" y="0"/>
                        <a:ext cx="619950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89BF80" w14:textId="2467A05C" w:rsidR="00E637EC" w:rsidRPr="009C5215" w:rsidRDefault="005A32B6" w:rsidP="009C5215">
                          <w:pPr>
                            <w:pBdr>
                              <w:top w:val="single" w:sz="4" w:space="1" w:color="CE181E"/>
                            </w:pBdr>
                            <w:jc w:val="center"/>
                            <w:rPr>
                              <w:rFonts w:asciiTheme="minorHAnsi" w:hAnsiTheme="minorHAnsi"/>
                              <w:smallCaps/>
                              <w:color w:val="CE181E"/>
                              <w:sz w:val="21"/>
                              <w:szCs w:val="21"/>
                            </w:rPr>
                          </w:pPr>
                          <w:r w:rsidRPr="005A32B6">
                            <w:rPr>
                              <w:rFonts w:asciiTheme="minorHAnsi" w:hAnsiTheme="minorHAnsi"/>
                              <w:smallCaps/>
                              <w:color w:val="CE181E"/>
                              <w:sz w:val="21"/>
                              <w:szCs w:val="21"/>
                            </w:rPr>
                            <w:t>Identifikacija aspekata okoliša i usklađenost s propisima</w:t>
                          </w:r>
                        </w:p>
                        <w:p w14:paraId="2A847F59" w14:textId="77777777" w:rsidR="00E637EC" w:rsidRPr="009C5215" w:rsidRDefault="00E637EC" w:rsidP="009C5215">
                          <w:pPr>
                            <w:pBdr>
                              <w:top w:val="single" w:sz="4" w:space="1" w:color="CE181E"/>
                            </w:pBdr>
                            <w:jc w:val="center"/>
                            <w:rPr>
                              <w:rFonts w:asciiTheme="minorHAnsi" w:hAnsiTheme="minorHAnsi"/>
                              <w:smallCaps/>
                              <w:color w:val="CE181E"/>
                              <w:sz w:val="21"/>
                              <w:szCs w:val="21"/>
                            </w:rPr>
                          </w:pPr>
                          <w:r w:rsidRPr="009C5215">
                            <w:rPr>
                              <w:rFonts w:asciiTheme="minorHAnsi" w:hAnsiTheme="minorHAnsi"/>
                              <w:smallCaps/>
                              <w:color w:val="CE181E"/>
                              <w:sz w:val="21"/>
                              <w:szCs w:val="21"/>
                            </w:rPr>
                            <w:t xml:space="preserve">v1.1</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xmlns="">
          <w:pict>
            <v:shapetype w14:anchorId="2DA54BEE" id="_x0000_t202" coordsize="21600,21600" o:spt="202" path="m,l,21600r21600,l21600,xe">
              <v:stroke joinstyle="miter"/>
              <v:path gradientshapeok="t" o:connecttype="rect"/>
            </v:shapetype>
            <v:shape id="Text Box 39" o:spid="_x0000_s1026" type="#_x0000_t202" style="position:absolute;margin-left:.05pt;margin-top:-13.3pt;width:488.15pt;height:28.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B6zaAIAADkFAAAOAAAAZHJzL2Uyb0RvYy54bWysVEuP2yAQvlfqf0DcG8d5tbHirNKsUlVa&#13;&#10;7a6arfZMMCRWMUOBxE5/fQfsPJT2slUvMMx8855hdtdUihyEdSXonKa9PiVCcyhKvc3p95fVh0+U&#13;&#10;OM90wRRokdOjcPRu/v7drDaZGMAOVCEsQSPaZbXJ6c57kyWJ4ztRMdcDIzQKJdiKeXzabVJYVqP1&#13;&#10;SiWDfn+S1GALY4EL55B73wrpPNqXUnD/JKUTnqicYmw+njaem3Am8xnLtpaZXcm7MNg/RFGxUqPT&#13;&#10;s6l75hnZ2/IPU1XJLTiQvsehSkDKkouYA2aT9m+yWe+YETEXLI4z5zK5/2eWPx7W5tkS33yGBhsY&#13;&#10;ClIblzlkhnwaaatwY6QE5VjC47lsovGEI3OSTqfj/pgSjrLhJB2m42AmuWgb6/wXARUJRE4ttiVW&#13;&#10;ix0enG+hJ0hwpmFVKhVbozSp0cNw3I8KZwkaVzpgRWxyZ+YSeaT8UYmAUfqbkKQsYgKBEcdLLJUl&#13;&#10;B4aDwTgX2sfco11EB5TEIN6i2OEvUb1Fuc3j5Bm0PytXpQYbs78Ju/hxClm2eKz5Vd6B9M2m6Tq6&#13;&#10;geKIjbbQ7oAzfFViNx6Y88/M4tBjb3GR/RMeUgFWHTqKkh3YX3/jBzzOIkopqXGJcup+7pkVlKiv&#13;&#10;Gqd0mo5GYeviYzT+OMCHvZZs4gO5el8tAVuR4ndheCQD1qsTKS1Ur7jri+ARRUxz9JvTzYlc+nat&#13;&#10;8a/gYrGIINwxw/yDXhseTIfOhDl7aV6ZNd0wehzjRzitGstuZrLFBk0Ni70HWcaBDcVtK9oVHfcz&#13;&#10;jnz3l4QP4PodUZcfb/4bAAD//wMAUEsDBBQABgAIAAAAIQA/cJEG4AAAAAwBAAAPAAAAZHJzL2Rv&#13;&#10;d25yZXYueG1sTE89T8MwFNyR+A/WQ2JrHRJkII1TVUWIrRKlHdjc+BEH4ufIdtrAr8edynLS6XRf&#13;&#10;1XKyPTuiD50jCXfzDBhS43RHrYTd+8vsEViIirTqHaGEHwywrK+vKlVqd6I3PG5jy1IIhVJJMDEO&#13;&#10;JeehMWhVmLsBKWmfzlsVE/Ut116dUrjteZ5lglvVUWowasC1weZ7O1oJfr/JV+uvj/2Yv/Lf1uzG&#13;&#10;QouNlLc30/MiwWoBLOIULw44f0j7oU7DDm4kHVh/5ixKmOVCAEvy04O4B3aQUGQF8Lri/0/UfwAA&#13;&#10;AP//AwBQSwECLQAUAAYACAAAACEAtoM4kv4AAADhAQAAEwAAAAAAAAAAAAAAAAAAAAAAW0NvbnRl&#13;&#10;bnRfVHlwZXNdLnhtbFBLAQItABQABgAIAAAAIQA4/SH/1gAAAJQBAAALAAAAAAAAAAAAAAAAAC8B&#13;&#10;AABfcmVscy8ucmVsc1BLAQItABQABgAIAAAAIQAnQB6zaAIAADkFAAAOAAAAAAAAAAAAAAAAAC4C&#13;&#10;AABkcnMvZTJvRG9jLnhtbFBLAQItABQABgAIAAAAIQA/cJEG4AAAAAwBAAAPAAAAAAAAAAAAAAAA&#13;&#10;AMIEAABkcnMvZG93bnJldi54bWxQSwUGAAAAAAQABADzAAAAzwUAAAAA&#13;&#10;" filled="f" stroked="f" strokeweight=".5pt">
              <v:textbox inset=",,,0">
                <w:txbxContent>
                  <w:p w14:paraId="6789BF80" w14:textId="2467A05C" w:rsidR="00E637EC" w:rsidRPr="009C5215" w:rsidRDefault="005A32B6" w:rsidP="009C5215">
                    <w:pPr>
                      <w:pBdr>
                        <w:top w:val="single" w:sz="4" w:space="1" w:color="CE181E"/>
                      </w:pBdr>
                      <w:jc w:val="center"/>
                      <w:rPr>
                        <w:rFonts w:asciiTheme="minorHAnsi" w:hAnsiTheme="minorHAnsi"/>
                        <w:smallCaps/>
                        <w:color w:val="CE181E"/>
                        <w:sz w:val="21"/>
                        <w:szCs w:val="21"/>
                      </w:rPr>
                    </w:pPr>
                    <w:r w:rsidRPr="005A32B6">
                      <w:rPr>
                        <w:rFonts w:asciiTheme="minorHAnsi" w:hAnsiTheme="minorHAnsi"/>
                        <w:smallCaps/>
                        <w:color w:val="CE181E"/>
                        <w:sz w:val="21"/>
                        <w:szCs w:val="21"/>
                      </w:rPr>
                      <w:t>Identifikacija aspekata okoliša i usklađenost s propisima</w:t>
                    </w:r>
                  </w:p>
                  <w:p w14:paraId="2A847F59" w14:textId="77777777" w:rsidR="00E637EC" w:rsidRPr="009C5215" w:rsidRDefault="00E637EC" w:rsidP="009C5215">
                    <w:pPr>
                      <w:pBdr>
                        <w:top w:val="single" w:sz="4" w:space="1" w:color="CE181E"/>
                      </w:pBdr>
                      <w:jc w:val="center"/>
                      <w:rPr>
                        <w:rFonts w:asciiTheme="minorHAnsi" w:hAnsiTheme="minorHAnsi"/>
                        <w:smallCaps/>
                        <w:color w:val="CE181E"/>
                        <w:sz w:val="21"/>
                        <w:szCs w:val="21"/>
                      </w:rPr>
                    </w:pPr>
                    <w:r w:rsidRPr="009C5215">
                      <w:rPr>
                        <w:rFonts w:asciiTheme="minorHAnsi" w:hAnsiTheme="minorHAnsi"/>
                        <w:smallCaps/>
                        <w:color w:val="CE181E"/>
                        <w:sz w:val="21"/>
                        <w:szCs w:val="21"/>
                      </w:rPr>
                      <w:t xml:space="preserve">v1.1</w:t>
                    </w:r>
                  </w:p>
                </w:txbxContent>
              </v:textbox>
            </v:shape>
          </w:pict>
        </mc:Fallback>
      </mc:AlternateContent>
    </w:r>
    <w:r w:rsidR="002F141A" w:rsidRPr="00C02112">
      <w:rPr>
        <w:noProof/>
      </w:rPr>
      <mc:AlternateContent>
        <mc:Choice Requires="wps">
          <w:drawing>
            <wp:anchor distT="0" distB="0" distL="0" distR="0" simplePos="0" relativeHeight="251657216" behindDoc="0" locked="0" layoutInCell="1" allowOverlap="1" wp14:anchorId="17C62F04" wp14:editId="246A9809">
              <wp:simplePos x="0" y="0"/>
              <wp:positionH relativeFrom="rightMargin">
                <wp:posOffset>0</wp:posOffset>
              </wp:positionH>
              <wp:positionV relativeFrom="bottomMargin">
                <wp:posOffset>-21979</wp:posOffset>
              </wp:positionV>
              <wp:extent cx="45720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CE181E"/>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657FFD" w14:textId="77777777" w:rsidR="00E637EC" w:rsidRPr="00397DFB" w:rsidRDefault="00E637EC" w:rsidP="00E637EC">
                          <w:pPr>
                            <w:jc w:val="right"/>
                            <w:rPr>
                              <w:rFonts w:asciiTheme="minorHAnsi" w:hAnsiTheme="minorHAnsi"/>
                              <w:color w:val="FFFFFF" w:themeColor="background1"/>
                              <w:sz w:val="21"/>
                              <w:szCs w:val="22"/>
                            </w:rPr>
                          </w:pPr>
                          <w:r w:rsidRPr="00397DFB">
                            <w:rPr>
                              <w:rFonts w:asciiTheme="minorHAnsi" w:hAnsiTheme="minorHAnsi"/>
                              <w:color w:val="FFFFFF" w:themeColor="background1"/>
                              <w:sz w:val="21"/>
                              <w:szCs w:val="22"/>
                            </w:rPr>
                            <w:fldChar w:fldCharType="begin"/>
                          </w:r>
                          <w:r w:rsidRPr="00397DFB">
                            <w:rPr>
                              <w:rFonts w:asciiTheme="minorHAnsi" w:hAnsiTheme="minorHAnsi"/>
                              <w:color w:val="FFFFFF" w:themeColor="background1"/>
                              <w:sz w:val="21"/>
                              <w:szCs w:val="22"/>
                            </w:rPr>
                            <w:instrText xml:space="preserve"> PAGE   \* MERGEFORMAT </w:instrText>
                          </w:r>
                          <w:r w:rsidRPr="00397DFB">
                            <w:rPr>
                              <w:rFonts w:asciiTheme="minorHAnsi" w:hAnsiTheme="minorHAnsi"/>
                              <w:color w:val="FFFFFF" w:themeColor="background1"/>
                              <w:sz w:val="21"/>
                              <w:szCs w:val="22"/>
                            </w:rPr>
                            <w:fldChar w:fldCharType="separate"/>
                          </w:r>
                          <w:r w:rsidRPr="00397DFB">
                            <w:rPr>
                              <w:rFonts w:asciiTheme="minorHAnsi" w:hAnsiTheme="minorHAnsi"/>
                              <w:noProof/>
                              <w:color w:val="FFFFFF" w:themeColor="background1"/>
                              <w:sz w:val="21"/>
                              <w:szCs w:val="22"/>
                            </w:rPr>
                            <w:t>2</w:t>
                          </w:r>
                          <w:r w:rsidRPr="00397DFB">
                            <w:rPr>
                              <w:rFonts w:asciiTheme="minorHAnsi" w:hAnsiTheme="minorHAnsi"/>
                              <w:noProof/>
                              <w:color w:val="FFFFFF" w:themeColor="background1"/>
                              <w:sz w:val="21"/>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7C62F04" id="Rectangle 40" o:spid="_x0000_s1027" style="position:absolute;margin-left:0;margin-top:-1.75pt;width:36pt;height:25.2pt;z-index:251657216;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DKKkAIAAHgFAAAOAAAAZHJzL2Uyb0RvYy54bWysVEtv2zAMvg/YfxB0Xx137dYFdYogbYcB&#13;&#10;RVu0HXpWZCk2IIsapcTOfv0o+ZGu6y7DclAok/z40EeeX3SNYTuFvgZb8PxoxpmyEsrabgr+/en6&#13;&#10;wxlnPghbCgNWFXyvPL9YvH933rq5OoYKTKmQEYj189YVvArBzbPMy0o1wh+BU5aUGrARga64yUoU&#13;&#10;LaE3JjuezT5lLWDpEKTynr5e9kq+SPhaKxnutPYqMFNwyi2kE9O5jme2OBfzDQpX1XJIQ/xDFo2o&#13;&#10;LQWdoC5FEGyL9R9QTS0RPOhwJKHJQOtaqlQDVZPPXlXzWAmnUi3UHO+mNvn/Bytvd4/uHqkNrfNz&#13;&#10;T2KsotPYxH/Kj3WpWfupWaoLTNLHk9PP9ACcSVJ9JOkkNTM7ODv04auChkWh4EhvkVokdjc+UEAy&#13;&#10;HU1iLA+mLq9rY9IFN+uVQbYT9G6rq/wsv4pPRS6/mRnLWop+llMi0c1CBOgNjSX7Q1FJCnujop2x&#13;&#10;D0qzuqQyjpNj4puaIgoplQ15r6pEqfpETmf0G/OIDI0eKasEGJE1xZ+wB4DRsgcZsfssB/voqhJd&#13;&#10;J+e+or8k1jtPHiky2DA5N7UFfKsyQ1UNkXv7sUl9a2KXQrfuqDc0zdEyfllDub9HhtCPj3fyuqY3&#13;&#10;vRE+3AukeSEa0A4Id3RoA/QkMEicVYA/3/oe7YnGpOWspfkruP+xFag4M98sEfxLfkKMYiFdEtc4&#13;&#10;w5ea9UuN3TYrIKrktG2cTCI5YzCjqBGaZ1oVyxiVVMJKil3w9SiuQr8VaNVItVwmIxpRJ8KNfXQy&#13;&#10;QscuR8Y+dc8C3UDrQPNwC+Okivkrdve20dPCchtA14n6h64O/afxTkQaVlHcHy/vyeqwMBe/AAAA&#13;&#10;//8DAFBLAwQUAAYACAAAACEA/xIu/uEAAAAKAQAADwAAAGRycy9kb3ducmV2LnhtbEyPQUvDQBCF&#13;&#10;74L/YRnBW7uxpqmmmRTRepCK0urF2yQZk2B2N2S3beyvdzzpZeDxeG/el61G06kDD751FuFqGoFi&#13;&#10;W7qqtTXC+9vj5AaUD2Qr6pxlhG/2sMrPzzJKK3e0Wz7sQq2kxPqUEJoQ+lRrXzZsyE9dz1a8TzcY&#13;&#10;CiKHWlcDHaXcdHoWRYk21Fr50FDP9w2XX7u9QUhe6eW0SVxc6tOaTPz89FGs54iXF+PDUs7dElTg&#13;&#10;Mfwl4JdB9kMuwwq3t5VXHYLQBITJ9RyUuIuZ6AIhTm5B55n+j5D/AAAA//8DAFBLAQItABQABgAI&#13;&#10;AAAAIQC2gziS/gAAAOEBAAATAAAAAAAAAAAAAAAAAAAAAABbQ29udGVudF9UeXBlc10ueG1sUEsB&#13;&#10;Ai0AFAAGAAgAAAAhADj9If/WAAAAlAEAAAsAAAAAAAAAAAAAAAAALwEAAF9yZWxzLy5yZWxzUEsB&#13;&#10;Ai0AFAAGAAgAAAAhALaQMoqQAgAAeAUAAA4AAAAAAAAAAAAAAAAALgIAAGRycy9lMm9Eb2MueG1s&#13;&#10;UEsBAi0AFAAGAAgAAAAhAP8SLv7hAAAACgEAAA8AAAAAAAAAAAAAAAAA6gQAAGRycy9kb3ducmV2&#13;&#10;LnhtbFBLBQYAAAAABAAEAPMAAAD4BQAAAAA=&#13;&#10;" fillcolor="#ce181e" stroked="f" strokeweight="3pt">
              <v:textbox>
                <w:txbxContent>
                  <w:p w14:paraId="47657FFD" w14:textId="77777777" w:rsidR="00E637EC" w:rsidRPr="00397DFB" w:rsidRDefault="00E637EC" w:rsidP="00E637EC">
                    <w:pPr>
                      <w:jc w:val="right"/>
                      <w:rPr>
                        <w:rFonts w:asciiTheme="minorHAnsi" w:hAnsiTheme="minorHAnsi"/>
                        <w:color w:val="FFFFFF" w:themeColor="background1"/>
                        <w:sz w:val="21"/>
                        <w:szCs w:val="22"/>
                      </w:rPr>
                    </w:pPr>
                    <w:r w:rsidRPr="00397DFB">
                      <w:rPr>
                        <w:rFonts w:asciiTheme="minorHAnsi" w:hAnsiTheme="minorHAnsi"/>
                        <w:color w:val="FFFFFF" w:themeColor="background1"/>
                        <w:sz w:val="21"/>
                        <w:szCs w:val="22"/>
                      </w:rPr>
                      <w:fldChar w:fldCharType="begin"/>
                    </w:r>
                    <w:r w:rsidRPr="00397DFB">
                      <w:rPr>
                        <w:rFonts w:asciiTheme="minorHAnsi" w:hAnsiTheme="minorHAnsi"/>
                        <w:color w:val="FFFFFF" w:themeColor="background1"/>
                        <w:sz w:val="21"/>
                        <w:szCs w:val="22"/>
                      </w:rPr>
                      <w:instrText xml:space="preserve"> PAGE   \* MERGEFORMAT </w:instrText>
                    </w:r>
                    <w:r w:rsidRPr="00397DFB">
                      <w:rPr>
                        <w:rFonts w:asciiTheme="minorHAnsi" w:hAnsiTheme="minorHAnsi"/>
                        <w:color w:val="FFFFFF" w:themeColor="background1"/>
                        <w:sz w:val="21"/>
                        <w:szCs w:val="22"/>
                      </w:rPr>
                      <w:fldChar w:fldCharType="separate"/>
                    </w:r>
                    <w:r w:rsidRPr="00397DFB">
                      <w:rPr>
                        <w:rFonts w:asciiTheme="minorHAnsi" w:hAnsiTheme="minorHAnsi"/>
                        <w:noProof/>
                        <w:color w:val="FFFFFF" w:themeColor="background1"/>
                        <w:sz w:val="21"/>
                        <w:szCs w:val="22"/>
                      </w:rPr>
                      <w:t>2</w:t>
                    </w:r>
                    <w:r w:rsidRPr="00397DFB">
                      <w:rPr>
                        <w:rFonts w:asciiTheme="minorHAnsi" w:hAnsiTheme="minorHAnsi"/>
                        <w:noProof/>
                        <w:color w:val="FFFFFF" w:themeColor="background1"/>
                        <w:sz w:val="21"/>
                        <w:szCs w:val="22"/>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7CEA" w14:textId="77777777" w:rsidR="007220C0" w:rsidRDefault="007220C0" w:rsidP="00E637EC">
      <w:r>
        <w:separator/>
      </w:r>
    </w:p>
  </w:footnote>
  <w:footnote w:type="continuationSeparator" w:id="0">
    <w:p w14:paraId="3A00809B" w14:textId="77777777" w:rsidR="007220C0" w:rsidRDefault="007220C0" w:rsidP="00E63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5"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3402"/>
      <w:gridCol w:w="3119"/>
      <w:gridCol w:w="3118"/>
    </w:tblGrid>
    <w:tr w:rsidR="00E637EC" w:rsidRPr="00032956" w14:paraId="16370B91" w14:textId="77777777" w:rsidTr="007039AC">
      <w:trPr>
        <w:cantSplit/>
        <w:trHeight w:val="537"/>
      </w:trPr>
      <w:tc>
        <w:tcPr>
          <w:tcW w:w="3402" w:type="dxa"/>
          <w:vMerge w:val="restart"/>
          <w:tcBorders>
            <w:top w:val="single" w:sz="12" w:space="0" w:color="auto"/>
            <w:left w:val="single" w:sz="12" w:space="0" w:color="auto"/>
            <w:bottom w:val="nil"/>
          </w:tcBorders>
          <w:vAlign w:val="center"/>
        </w:tcPr>
        <w:p w14:paraId="52724937" w14:textId="77777777" w:rsidR="00E637EC" w:rsidRPr="00567495" w:rsidRDefault="00E637EC" w:rsidP="00E637EC">
          <w:pPr>
            <w:jc w:val="center"/>
            <w:rPr>
              <w:b/>
              <w:color w:val="FF0000"/>
            </w:rPr>
          </w:pPr>
          <w:r>
            <w:rPr>
              <w:rFonts w:ascii="Cambria" w:hAnsi="Cambria"/>
              <w:noProof/>
              <w:sz w:val="32"/>
            </w:rPr>
            <w:drawing>
              <wp:inline distT="0" distB="0" distL="0" distR="0" wp14:anchorId="168653E0" wp14:editId="3A4C664F">
                <wp:extent cx="1863233" cy="471354"/>
                <wp:effectExtent l="0" t="0" r="3810" b="0"/>
                <wp:docPr id="59039342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93420" name="Graphic 590393420"/>
                        <pic:cNvPicPr/>
                      </pic:nvPicPr>
                      <pic:blipFill>
                        <a:blip r:embed="rId1">
                          <a:extLst>
                            <a:ext uri="{96DAC541-7B7A-43D3-8B79-37D633B846F1}">
                              <asvg:svgBlip xmlns:asvg="http://schemas.microsoft.com/office/drawing/2016/SVG/main" r:embed="rId2"/>
                            </a:ext>
                          </a:extLst>
                        </a:blip>
                        <a:stretch>
                          <a:fillRect/>
                        </a:stretch>
                      </pic:blipFill>
                      <pic:spPr>
                        <a:xfrm>
                          <a:off x="0" y="0"/>
                          <a:ext cx="2057287" cy="520445"/>
                        </a:xfrm>
                        <a:prstGeom prst="rect">
                          <a:avLst/>
                        </a:prstGeom>
                      </pic:spPr>
                    </pic:pic>
                  </a:graphicData>
                </a:graphic>
              </wp:inline>
            </w:drawing>
          </w:r>
        </w:p>
      </w:tc>
      <w:tc>
        <w:tcPr>
          <w:tcW w:w="3119" w:type="dxa"/>
          <w:vMerge w:val="restart"/>
          <w:tcBorders>
            <w:top w:val="single" w:sz="12" w:space="0" w:color="auto"/>
            <w:bottom w:val="nil"/>
          </w:tcBorders>
          <w:vAlign w:val="center"/>
        </w:tcPr>
        <w:p w14:paraId="056F94BB" w14:textId="711E0D10" w:rsidR="00E637EC" w:rsidRPr="00032956" w:rsidRDefault="00F96ED9" w:rsidP="007039AC">
          <w:pPr>
            <w:jc w:val="center"/>
            <w:rPr>
              <w:rFonts w:ascii="Aptos" w:hAnsi="Aptos"/>
              <w:b/>
              <w:iCs/>
              <w:sz w:val="32"/>
            </w:rPr>
          </w:pPr>
          <w:r w:rsidRPr="00F96ED9">
            <w:rPr>
              <w:rFonts w:ascii="Aptos" w:hAnsi="Aptos"/>
              <w:b/>
              <w:iCs/>
              <w:szCs w:val="20"/>
            </w:rPr>
            <w:t>Identifikacija aspekata okoliša i usklađenost s propisima</w:t>
          </w:r>
        </w:p>
      </w:tc>
      <w:tc>
        <w:tcPr>
          <w:tcW w:w="3118" w:type="dxa"/>
          <w:tcBorders>
            <w:top w:val="single" w:sz="12" w:space="0" w:color="auto"/>
            <w:right w:val="single" w:sz="12" w:space="0" w:color="auto"/>
          </w:tcBorders>
          <w:vAlign w:val="center"/>
        </w:tcPr>
        <w:p w14:paraId="75DB88FD" w14:textId="41238E79" w:rsidR="008E7651" w:rsidRPr="008E7651" w:rsidRDefault="008E7651" w:rsidP="00A4137A">
          <w:pPr>
            <w:jc w:val="center"/>
            <w:rPr>
              <w:rFonts w:ascii="Aptos" w:hAnsi="Aptos"/>
              <w:sz w:val="18"/>
              <w:szCs w:val="18"/>
            </w:rPr>
          </w:pPr>
          <w:r w:rsidRPr="008E7651">
            <w:rPr>
              <w:rFonts w:ascii="Aptos" w:hAnsi="Aptos"/>
              <w:sz w:val="18"/>
              <w:szCs w:val="18"/>
            </w:rPr>
            <w:t xml:space="preserve">Oznaka dokumenta: </w:t>
          </w:r>
          <w:r w:rsidR="00397DFB">
            <w:rPr>
              <w:rFonts w:ascii="Aptos" w:hAnsi="Aptos"/>
              <w:b/>
              <w:bCs/>
              <w:sz w:val="18"/>
              <w:szCs w:val="18"/>
            </w:rPr>
            <w:t>PROC</w:t>
          </w:r>
          <w:r w:rsidRPr="008E7651">
            <w:rPr>
              <w:rFonts w:ascii="Aptos" w:hAnsi="Aptos"/>
              <w:b/>
              <w:bCs/>
              <w:sz w:val="18"/>
              <w:szCs w:val="18"/>
            </w:rPr>
            <w:t>-IMS-0</w:t>
          </w:r>
          <w:r w:rsidR="00F96ED9">
            <w:rPr>
              <w:rFonts w:ascii="Aptos" w:hAnsi="Aptos"/>
              <w:b/>
              <w:bCs/>
              <w:sz w:val="18"/>
              <w:szCs w:val="18"/>
            </w:rPr>
            <w:t>7</w:t>
          </w:r>
        </w:p>
        <w:p w14:paraId="24A983EE" w14:textId="51CB0DC1" w:rsidR="00087A0B" w:rsidRPr="008E7651" w:rsidRDefault="00E637EC" w:rsidP="00A4137A">
          <w:pPr>
            <w:jc w:val="center"/>
            <w:rPr>
              <w:rFonts w:ascii="Aptos" w:hAnsi="Aptos"/>
              <w:b/>
              <w:sz w:val="18"/>
              <w:szCs w:val="18"/>
            </w:rPr>
          </w:pPr>
          <w:r w:rsidRPr="008E7651">
            <w:rPr>
              <w:rFonts w:ascii="Aptos" w:hAnsi="Aptos"/>
              <w:sz w:val="18"/>
              <w:szCs w:val="18"/>
            </w:rPr>
            <w:t>Stranica:</w:t>
          </w:r>
          <w:r w:rsidRPr="008E7651">
            <w:rPr>
              <w:rFonts w:ascii="Aptos" w:hAnsi="Aptos"/>
              <w:snapToGrid w:val="0"/>
              <w:sz w:val="18"/>
              <w:szCs w:val="18"/>
            </w:rPr>
            <w:t xml:space="preserve">   </w:t>
          </w:r>
          <w:r w:rsidRPr="008E7651">
            <w:rPr>
              <w:rStyle w:val="PageNumber"/>
              <w:rFonts w:ascii="Aptos" w:hAnsi="Aptos"/>
              <w:b/>
              <w:sz w:val="18"/>
              <w:szCs w:val="18"/>
            </w:rPr>
            <w:fldChar w:fldCharType="begin"/>
          </w:r>
          <w:r w:rsidRPr="008E7651">
            <w:rPr>
              <w:rStyle w:val="PageNumber"/>
              <w:rFonts w:ascii="Aptos" w:hAnsi="Aptos"/>
              <w:b/>
              <w:sz w:val="18"/>
              <w:szCs w:val="18"/>
            </w:rPr>
            <w:instrText xml:space="preserve"> PAGE </w:instrText>
          </w:r>
          <w:r w:rsidRPr="008E7651">
            <w:rPr>
              <w:rStyle w:val="PageNumber"/>
              <w:rFonts w:ascii="Aptos" w:hAnsi="Aptos"/>
              <w:b/>
              <w:sz w:val="18"/>
              <w:szCs w:val="18"/>
            </w:rPr>
            <w:fldChar w:fldCharType="separate"/>
          </w:r>
          <w:r w:rsidRPr="008E7651">
            <w:rPr>
              <w:rStyle w:val="PageNumber"/>
              <w:rFonts w:ascii="Aptos" w:hAnsi="Aptos"/>
              <w:b/>
              <w:sz w:val="18"/>
              <w:szCs w:val="18"/>
            </w:rPr>
            <w:t>1</w:t>
          </w:r>
          <w:r w:rsidRPr="008E7651">
            <w:rPr>
              <w:rStyle w:val="PageNumber"/>
              <w:rFonts w:ascii="Aptos" w:hAnsi="Aptos"/>
              <w:b/>
              <w:sz w:val="18"/>
              <w:szCs w:val="18"/>
            </w:rPr>
            <w:fldChar w:fldCharType="end"/>
          </w:r>
          <w:r w:rsidRPr="008E7651">
            <w:rPr>
              <w:rStyle w:val="PageNumber"/>
              <w:rFonts w:ascii="Aptos" w:hAnsi="Aptos"/>
              <w:b/>
              <w:sz w:val="18"/>
              <w:szCs w:val="18"/>
            </w:rPr>
            <w:t>/</w:t>
          </w:r>
          <w:r w:rsidRPr="008E7651">
            <w:rPr>
              <w:rStyle w:val="PageNumber"/>
              <w:rFonts w:ascii="Aptos" w:hAnsi="Aptos"/>
              <w:b/>
              <w:sz w:val="18"/>
              <w:szCs w:val="18"/>
            </w:rPr>
            <w:fldChar w:fldCharType="begin"/>
          </w:r>
          <w:r w:rsidRPr="008E7651">
            <w:rPr>
              <w:rStyle w:val="PageNumber"/>
              <w:rFonts w:ascii="Aptos" w:hAnsi="Aptos"/>
              <w:b/>
              <w:sz w:val="18"/>
              <w:szCs w:val="18"/>
            </w:rPr>
            <w:instrText xml:space="preserve"> NUMPAGES </w:instrText>
          </w:r>
          <w:r w:rsidRPr="008E7651">
            <w:rPr>
              <w:rStyle w:val="PageNumber"/>
              <w:rFonts w:ascii="Aptos" w:hAnsi="Aptos"/>
              <w:b/>
              <w:sz w:val="18"/>
              <w:szCs w:val="18"/>
            </w:rPr>
            <w:fldChar w:fldCharType="separate"/>
          </w:r>
          <w:r w:rsidRPr="008E7651">
            <w:rPr>
              <w:rStyle w:val="PageNumber"/>
              <w:rFonts w:ascii="Aptos" w:hAnsi="Aptos"/>
              <w:b/>
              <w:sz w:val="18"/>
              <w:szCs w:val="18"/>
            </w:rPr>
            <w:t>2</w:t>
          </w:r>
          <w:r w:rsidRPr="008E7651">
            <w:rPr>
              <w:rStyle w:val="PageNumber"/>
              <w:rFonts w:ascii="Aptos" w:hAnsi="Aptos"/>
              <w:b/>
              <w:sz w:val="18"/>
              <w:szCs w:val="18"/>
            </w:rPr>
            <w:fldChar w:fldCharType="end"/>
          </w:r>
        </w:p>
      </w:tc>
    </w:tr>
    <w:tr w:rsidR="00E637EC" w:rsidRPr="00032956" w14:paraId="1DDFE4F1" w14:textId="77777777" w:rsidTr="007039AC">
      <w:trPr>
        <w:cantSplit/>
        <w:trHeight w:val="534"/>
      </w:trPr>
      <w:tc>
        <w:tcPr>
          <w:tcW w:w="3402" w:type="dxa"/>
          <w:vMerge/>
          <w:tcBorders>
            <w:top w:val="nil"/>
            <w:left w:val="single" w:sz="12" w:space="0" w:color="auto"/>
            <w:bottom w:val="single" w:sz="12" w:space="0" w:color="auto"/>
          </w:tcBorders>
          <w:vAlign w:val="center"/>
        </w:tcPr>
        <w:p w14:paraId="58C385CD" w14:textId="77777777" w:rsidR="00E637EC" w:rsidRDefault="00E637EC" w:rsidP="00E637EC">
          <w:pPr>
            <w:jc w:val="center"/>
          </w:pPr>
        </w:p>
      </w:tc>
      <w:tc>
        <w:tcPr>
          <w:tcW w:w="3119" w:type="dxa"/>
          <w:vMerge/>
          <w:tcBorders>
            <w:top w:val="nil"/>
            <w:bottom w:val="single" w:sz="12" w:space="0" w:color="auto"/>
          </w:tcBorders>
          <w:vAlign w:val="center"/>
        </w:tcPr>
        <w:p w14:paraId="5FF0F84A" w14:textId="77777777" w:rsidR="00E637EC" w:rsidRPr="00032956" w:rsidRDefault="00E637EC" w:rsidP="00E637EC">
          <w:pPr>
            <w:jc w:val="center"/>
            <w:rPr>
              <w:rFonts w:ascii="Aptos" w:hAnsi="Aptos"/>
              <w:b/>
              <w:i/>
              <w:sz w:val="28"/>
            </w:rPr>
          </w:pPr>
        </w:p>
      </w:tc>
      <w:tc>
        <w:tcPr>
          <w:tcW w:w="3118" w:type="dxa"/>
          <w:tcBorders>
            <w:top w:val="single" w:sz="4" w:space="0" w:color="auto"/>
            <w:bottom w:val="single" w:sz="12" w:space="0" w:color="auto"/>
            <w:right w:val="single" w:sz="12" w:space="0" w:color="auto"/>
          </w:tcBorders>
          <w:vAlign w:val="center"/>
        </w:tcPr>
        <w:p w14:paraId="3A722186" w14:textId="77777777" w:rsidR="00E637EC" w:rsidRPr="008E7651" w:rsidRDefault="00E637EC" w:rsidP="00A4137A">
          <w:pPr>
            <w:jc w:val="center"/>
            <w:rPr>
              <w:rFonts w:ascii="Aptos" w:hAnsi="Aptos"/>
              <w:sz w:val="18"/>
              <w:szCs w:val="18"/>
            </w:rPr>
          </w:pPr>
          <w:r w:rsidRPr="008E7651">
            <w:rPr>
              <w:rFonts w:ascii="Aptos" w:hAnsi="Aptos"/>
              <w:sz w:val="18"/>
              <w:szCs w:val="18"/>
            </w:rPr>
            <w:t>Izdanje / datum</w:t>
          </w:r>
        </w:p>
        <w:p w14:paraId="477CE812" w14:textId="77777777" w:rsidR="00E637EC" w:rsidRPr="008E7651" w:rsidRDefault="00E637EC" w:rsidP="00A4137A">
          <w:pPr>
            <w:jc w:val="center"/>
            <w:rPr>
              <w:rFonts w:ascii="Aptos" w:hAnsi="Aptos"/>
              <w:b/>
              <w:sz w:val="18"/>
              <w:szCs w:val="18"/>
            </w:rPr>
          </w:pPr>
          <w:r w:rsidRPr="008E7651">
            <w:rPr>
              <w:rFonts w:ascii="Aptos" w:hAnsi="Aptos"/>
              <w:b/>
              <w:sz w:val="18"/>
              <w:szCs w:val="18"/>
            </w:rPr>
            <w:t xml:space="preserve">1.1 / 25.09.2026.</w:t>
          </w:r>
        </w:p>
      </w:tc>
    </w:tr>
  </w:tbl>
  <w:p w14:paraId="36F4B044" w14:textId="77777777" w:rsidR="00E637EC" w:rsidRDefault="00E637EC" w:rsidP="00E63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8A4"/>
    <w:multiLevelType w:val="multilevel"/>
    <w:tmpl w:val="0BD4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341D9"/>
    <w:multiLevelType w:val="multilevel"/>
    <w:tmpl w:val="C1D4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14D23"/>
    <w:multiLevelType w:val="multilevel"/>
    <w:tmpl w:val="1DD6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3154F"/>
    <w:multiLevelType w:val="multilevel"/>
    <w:tmpl w:val="505A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6168A"/>
    <w:multiLevelType w:val="multilevel"/>
    <w:tmpl w:val="C880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41F21"/>
    <w:multiLevelType w:val="multilevel"/>
    <w:tmpl w:val="E068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23385"/>
    <w:multiLevelType w:val="multilevel"/>
    <w:tmpl w:val="6514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503A18"/>
    <w:multiLevelType w:val="multilevel"/>
    <w:tmpl w:val="BCE6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7492E"/>
    <w:multiLevelType w:val="multilevel"/>
    <w:tmpl w:val="46BC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817688"/>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D2F7608"/>
    <w:multiLevelType w:val="multilevel"/>
    <w:tmpl w:val="D566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913AFE"/>
    <w:multiLevelType w:val="multilevel"/>
    <w:tmpl w:val="A7FC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343F3A"/>
    <w:multiLevelType w:val="multilevel"/>
    <w:tmpl w:val="A682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E26E0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4DF33C06"/>
    <w:multiLevelType w:val="multilevel"/>
    <w:tmpl w:val="FE22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EA0F42"/>
    <w:multiLevelType w:val="multilevel"/>
    <w:tmpl w:val="EF16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6613DE"/>
    <w:multiLevelType w:val="hybridMultilevel"/>
    <w:tmpl w:val="B19678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8C363E"/>
    <w:multiLevelType w:val="hybridMultilevel"/>
    <w:tmpl w:val="0C14C6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5C28E8"/>
    <w:multiLevelType w:val="multilevel"/>
    <w:tmpl w:val="33C0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5E1904"/>
    <w:multiLevelType w:val="multilevel"/>
    <w:tmpl w:val="E198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8A0408"/>
    <w:multiLevelType w:val="multilevel"/>
    <w:tmpl w:val="CEE6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D133FA"/>
    <w:multiLevelType w:val="multilevel"/>
    <w:tmpl w:val="84BC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3C1C08"/>
    <w:multiLevelType w:val="multilevel"/>
    <w:tmpl w:val="4F22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01DFA"/>
    <w:multiLevelType w:val="multilevel"/>
    <w:tmpl w:val="6930C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BA0FDD"/>
    <w:multiLevelType w:val="multilevel"/>
    <w:tmpl w:val="98B6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F3621"/>
    <w:multiLevelType w:val="multilevel"/>
    <w:tmpl w:val="7CDE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072398"/>
    <w:multiLevelType w:val="hybridMultilevel"/>
    <w:tmpl w:val="8EDC2D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F41450"/>
    <w:multiLevelType w:val="multilevel"/>
    <w:tmpl w:val="FA18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7514702">
    <w:abstractNumId w:val="13"/>
  </w:num>
  <w:num w:numId="2" w16cid:durableId="438990137">
    <w:abstractNumId w:val="9"/>
  </w:num>
  <w:num w:numId="3" w16cid:durableId="347217876">
    <w:abstractNumId w:val="14"/>
  </w:num>
  <w:num w:numId="4" w16cid:durableId="1905874051">
    <w:abstractNumId w:val="12"/>
  </w:num>
  <w:num w:numId="5" w16cid:durableId="765464772">
    <w:abstractNumId w:val="23"/>
  </w:num>
  <w:num w:numId="6" w16cid:durableId="368650352">
    <w:abstractNumId w:val="21"/>
  </w:num>
  <w:num w:numId="7" w16cid:durableId="370695714">
    <w:abstractNumId w:val="0"/>
  </w:num>
  <w:num w:numId="8" w16cid:durableId="739406778">
    <w:abstractNumId w:val="25"/>
  </w:num>
  <w:num w:numId="9" w16cid:durableId="844131679">
    <w:abstractNumId w:val="24"/>
  </w:num>
  <w:num w:numId="10" w16cid:durableId="888997067">
    <w:abstractNumId w:val="6"/>
  </w:num>
  <w:num w:numId="11" w16cid:durableId="869269704">
    <w:abstractNumId w:val="1"/>
  </w:num>
  <w:num w:numId="12" w16cid:durableId="335112221">
    <w:abstractNumId w:val="3"/>
  </w:num>
  <w:num w:numId="13" w16cid:durableId="2053992267">
    <w:abstractNumId w:val="17"/>
  </w:num>
  <w:num w:numId="14" w16cid:durableId="2059160546">
    <w:abstractNumId w:val="16"/>
  </w:num>
  <w:num w:numId="15" w16cid:durableId="1003894666">
    <w:abstractNumId w:val="7"/>
  </w:num>
  <w:num w:numId="16" w16cid:durableId="531042465">
    <w:abstractNumId w:val="20"/>
  </w:num>
  <w:num w:numId="17" w16cid:durableId="763376104">
    <w:abstractNumId w:val="18"/>
  </w:num>
  <w:num w:numId="18" w16cid:durableId="288325277">
    <w:abstractNumId w:val="15"/>
  </w:num>
  <w:num w:numId="19" w16cid:durableId="396561804">
    <w:abstractNumId w:val="2"/>
  </w:num>
  <w:num w:numId="20" w16cid:durableId="756249605">
    <w:abstractNumId w:val="19"/>
  </w:num>
  <w:num w:numId="21" w16cid:durableId="1350254014">
    <w:abstractNumId w:val="5"/>
  </w:num>
  <w:num w:numId="22" w16cid:durableId="1599874516">
    <w:abstractNumId w:val="22"/>
  </w:num>
  <w:num w:numId="23" w16cid:durableId="1640762566">
    <w:abstractNumId w:val="27"/>
  </w:num>
  <w:num w:numId="24" w16cid:durableId="772280932">
    <w:abstractNumId w:val="10"/>
  </w:num>
  <w:num w:numId="25" w16cid:durableId="897133087">
    <w:abstractNumId w:val="8"/>
  </w:num>
  <w:num w:numId="26" w16cid:durableId="1664236709">
    <w:abstractNumId w:val="4"/>
  </w:num>
  <w:num w:numId="27" w16cid:durableId="1554999368">
    <w:abstractNumId w:val="11"/>
  </w:num>
  <w:num w:numId="28" w16cid:durableId="356002266">
    <w:abstractNumId w:val="13"/>
  </w:num>
  <w:num w:numId="29" w16cid:durableId="40401336">
    <w:abstractNumId w:val="13"/>
  </w:num>
  <w:num w:numId="30" w16cid:durableId="1068455454">
    <w:abstractNumId w:val="13"/>
  </w:num>
  <w:num w:numId="31" w16cid:durableId="33399567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7EC"/>
    <w:rsid w:val="000028A5"/>
    <w:rsid w:val="00013D57"/>
    <w:rsid w:val="00014B3B"/>
    <w:rsid w:val="0003400D"/>
    <w:rsid w:val="00072A25"/>
    <w:rsid w:val="00077212"/>
    <w:rsid w:val="00082EBA"/>
    <w:rsid w:val="00087A0B"/>
    <w:rsid w:val="000B0C87"/>
    <w:rsid w:val="000C46E9"/>
    <w:rsid w:val="000D136C"/>
    <w:rsid w:val="000D212D"/>
    <w:rsid w:val="000E7700"/>
    <w:rsid w:val="00137813"/>
    <w:rsid w:val="00173FE4"/>
    <w:rsid w:val="001C3599"/>
    <w:rsid w:val="001D2A8B"/>
    <w:rsid w:val="001E0A27"/>
    <w:rsid w:val="002228D9"/>
    <w:rsid w:val="00222C5D"/>
    <w:rsid w:val="00254C12"/>
    <w:rsid w:val="00260B99"/>
    <w:rsid w:val="00263E55"/>
    <w:rsid w:val="002C258E"/>
    <w:rsid w:val="002D0FA6"/>
    <w:rsid w:val="002E04AD"/>
    <w:rsid w:val="002F0BB4"/>
    <w:rsid w:val="002F141A"/>
    <w:rsid w:val="0031190C"/>
    <w:rsid w:val="00313077"/>
    <w:rsid w:val="003208C3"/>
    <w:rsid w:val="0036134A"/>
    <w:rsid w:val="00391D1D"/>
    <w:rsid w:val="00393654"/>
    <w:rsid w:val="00397DFB"/>
    <w:rsid w:val="003C0F17"/>
    <w:rsid w:val="003D0472"/>
    <w:rsid w:val="00403916"/>
    <w:rsid w:val="0042263F"/>
    <w:rsid w:val="00425E97"/>
    <w:rsid w:val="00447582"/>
    <w:rsid w:val="004507B9"/>
    <w:rsid w:val="004606D0"/>
    <w:rsid w:val="00472072"/>
    <w:rsid w:val="00474AD6"/>
    <w:rsid w:val="004930D1"/>
    <w:rsid w:val="00497AFF"/>
    <w:rsid w:val="004A15D3"/>
    <w:rsid w:val="004A1AE0"/>
    <w:rsid w:val="004D397A"/>
    <w:rsid w:val="004E3140"/>
    <w:rsid w:val="00504542"/>
    <w:rsid w:val="00520975"/>
    <w:rsid w:val="005518B9"/>
    <w:rsid w:val="005520B7"/>
    <w:rsid w:val="005647C8"/>
    <w:rsid w:val="00566C5C"/>
    <w:rsid w:val="00573DE2"/>
    <w:rsid w:val="00576F9D"/>
    <w:rsid w:val="005A32B6"/>
    <w:rsid w:val="005C612D"/>
    <w:rsid w:val="005C7262"/>
    <w:rsid w:val="005D1FB9"/>
    <w:rsid w:val="005F5BAC"/>
    <w:rsid w:val="00622F7C"/>
    <w:rsid w:val="006441F2"/>
    <w:rsid w:val="006516AF"/>
    <w:rsid w:val="0065739B"/>
    <w:rsid w:val="00662FC0"/>
    <w:rsid w:val="0067552B"/>
    <w:rsid w:val="006A3790"/>
    <w:rsid w:val="006B61EE"/>
    <w:rsid w:val="007039AC"/>
    <w:rsid w:val="00706CCA"/>
    <w:rsid w:val="007220C0"/>
    <w:rsid w:val="00746221"/>
    <w:rsid w:val="00765643"/>
    <w:rsid w:val="0078189F"/>
    <w:rsid w:val="007C205F"/>
    <w:rsid w:val="007E277B"/>
    <w:rsid w:val="007E5D7A"/>
    <w:rsid w:val="007F4535"/>
    <w:rsid w:val="007F4B03"/>
    <w:rsid w:val="00802F09"/>
    <w:rsid w:val="00806F57"/>
    <w:rsid w:val="008213C4"/>
    <w:rsid w:val="00864FA0"/>
    <w:rsid w:val="00877555"/>
    <w:rsid w:val="00892B99"/>
    <w:rsid w:val="0089619F"/>
    <w:rsid w:val="008B4C96"/>
    <w:rsid w:val="008E7651"/>
    <w:rsid w:val="00907105"/>
    <w:rsid w:val="0092580D"/>
    <w:rsid w:val="009321A2"/>
    <w:rsid w:val="009424A2"/>
    <w:rsid w:val="009578B1"/>
    <w:rsid w:val="00966838"/>
    <w:rsid w:val="009A350A"/>
    <w:rsid w:val="009C5215"/>
    <w:rsid w:val="009E0151"/>
    <w:rsid w:val="00A221E2"/>
    <w:rsid w:val="00A34D49"/>
    <w:rsid w:val="00A4137A"/>
    <w:rsid w:val="00A4371A"/>
    <w:rsid w:val="00A60536"/>
    <w:rsid w:val="00A66CC5"/>
    <w:rsid w:val="00A71597"/>
    <w:rsid w:val="00A7658C"/>
    <w:rsid w:val="00A94D26"/>
    <w:rsid w:val="00AA7DDB"/>
    <w:rsid w:val="00AC683A"/>
    <w:rsid w:val="00AC6C72"/>
    <w:rsid w:val="00AE6414"/>
    <w:rsid w:val="00B0118B"/>
    <w:rsid w:val="00B14491"/>
    <w:rsid w:val="00B15323"/>
    <w:rsid w:val="00B356E1"/>
    <w:rsid w:val="00B37BFD"/>
    <w:rsid w:val="00B67E40"/>
    <w:rsid w:val="00B77707"/>
    <w:rsid w:val="00B82045"/>
    <w:rsid w:val="00B8549F"/>
    <w:rsid w:val="00B9253C"/>
    <w:rsid w:val="00B92792"/>
    <w:rsid w:val="00B9329E"/>
    <w:rsid w:val="00BB60C5"/>
    <w:rsid w:val="00BC638B"/>
    <w:rsid w:val="00BE2B4D"/>
    <w:rsid w:val="00BF4605"/>
    <w:rsid w:val="00C044E7"/>
    <w:rsid w:val="00C26EA9"/>
    <w:rsid w:val="00C77E60"/>
    <w:rsid w:val="00C8213D"/>
    <w:rsid w:val="00CC081D"/>
    <w:rsid w:val="00CD45D2"/>
    <w:rsid w:val="00CE2120"/>
    <w:rsid w:val="00CE48ED"/>
    <w:rsid w:val="00CF39B6"/>
    <w:rsid w:val="00CF45B2"/>
    <w:rsid w:val="00D06C4E"/>
    <w:rsid w:val="00D11D78"/>
    <w:rsid w:val="00D33768"/>
    <w:rsid w:val="00D637D4"/>
    <w:rsid w:val="00DA36C2"/>
    <w:rsid w:val="00DA3F52"/>
    <w:rsid w:val="00DB1079"/>
    <w:rsid w:val="00DC18F4"/>
    <w:rsid w:val="00DD2118"/>
    <w:rsid w:val="00DE662C"/>
    <w:rsid w:val="00DF596A"/>
    <w:rsid w:val="00DF63EC"/>
    <w:rsid w:val="00E00C07"/>
    <w:rsid w:val="00E01A7B"/>
    <w:rsid w:val="00E02EF8"/>
    <w:rsid w:val="00E3683E"/>
    <w:rsid w:val="00E42D54"/>
    <w:rsid w:val="00E637EC"/>
    <w:rsid w:val="00E66249"/>
    <w:rsid w:val="00E91910"/>
    <w:rsid w:val="00EA604F"/>
    <w:rsid w:val="00ED3878"/>
    <w:rsid w:val="00ED5EB3"/>
    <w:rsid w:val="00EF5975"/>
    <w:rsid w:val="00F140C7"/>
    <w:rsid w:val="00F24517"/>
    <w:rsid w:val="00F3105C"/>
    <w:rsid w:val="00F44D13"/>
    <w:rsid w:val="00F471D3"/>
    <w:rsid w:val="00F60F8F"/>
    <w:rsid w:val="00F6243E"/>
    <w:rsid w:val="00F86913"/>
    <w:rsid w:val="00F96ED9"/>
    <w:rsid w:val="00FC1281"/>
    <w:rsid w:val="00FD71D8"/>
  </w:rsids>
  <m:mathPr>
    <m:mathFont m:val="Cambria Math"/>
    <m:brkBin m:val="before"/>
    <m:brkBinSub m:val="--"/>
    <m:smallFrac m:val="0"/>
    <m:dispDef/>
    <m:lMargin m:val="0"/>
    <m:rMargin m:val="0"/>
    <m:defJc m:val="centerGroup"/>
    <m:wrapIndent m:val="1440"/>
    <m:intLim m:val="subSup"/>
    <m:naryLim m:val="undOvr"/>
  </m:mathPr>
  <w:themeFontLang w:val="en-001"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8EA4D"/>
  <w15:chartTrackingRefBased/>
  <w15:docId w15:val="{78633621-3960-F544-BB9F-BEDE457FD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001"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70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autoRedefine/>
    <w:uiPriority w:val="9"/>
    <w:qFormat/>
    <w:rsid w:val="00173FE4"/>
    <w:pPr>
      <w:keepNext/>
      <w:keepLines/>
      <w:numPr>
        <w:numId w:val="1"/>
      </w:numPr>
      <w:pBdr>
        <w:bottom w:val="single" w:sz="4" w:space="1" w:color="CE181E"/>
      </w:pBdr>
      <w:spacing w:before="120" w:after="120" w:line="276" w:lineRule="auto"/>
      <w:outlineLvl w:val="0"/>
    </w:pPr>
    <w:rPr>
      <w:rFonts w:asciiTheme="minorHAnsi" w:hAnsiTheme="minorHAnsi"/>
      <w:b/>
      <w:smallCaps/>
      <w:color w:val="CE181E"/>
      <w:szCs w:val="32"/>
    </w:rPr>
  </w:style>
  <w:style w:type="paragraph" w:styleId="Heading2">
    <w:name w:val="heading 2"/>
    <w:basedOn w:val="Normal"/>
    <w:next w:val="Normal"/>
    <w:link w:val="Heading2Char"/>
    <w:uiPriority w:val="9"/>
    <w:unhideWhenUsed/>
    <w:qFormat/>
    <w:rsid w:val="00907105"/>
    <w:pPr>
      <w:keepNext/>
      <w:keepLines/>
      <w:numPr>
        <w:ilvl w:val="1"/>
        <w:numId w:val="1"/>
      </w:numPr>
      <w:spacing w:before="120" w:after="120"/>
      <w:ind w:left="578" w:hanging="578"/>
      <w:outlineLvl w:val="1"/>
    </w:pPr>
    <w:rPr>
      <w:rFonts w:ascii="Aptos" w:eastAsiaTheme="majorEastAsia" w:hAnsi="Aptos" w:cstheme="majorBidi"/>
      <w:smallCaps/>
      <w:color w:val="CE181E"/>
      <w:szCs w:val="32"/>
    </w:rPr>
  </w:style>
  <w:style w:type="paragraph" w:styleId="Heading3">
    <w:name w:val="heading 3"/>
    <w:basedOn w:val="Normal"/>
    <w:next w:val="Normal"/>
    <w:link w:val="Heading3Char"/>
    <w:autoRedefine/>
    <w:uiPriority w:val="9"/>
    <w:unhideWhenUsed/>
    <w:qFormat/>
    <w:rsid w:val="00907105"/>
    <w:pPr>
      <w:keepNext/>
      <w:keepLines/>
      <w:numPr>
        <w:ilvl w:val="2"/>
        <w:numId w:val="1"/>
      </w:numPr>
      <w:spacing w:before="60" w:after="120"/>
      <w:outlineLvl w:val="2"/>
    </w:pPr>
    <w:rPr>
      <w:rFonts w:asciiTheme="minorHAnsi" w:eastAsiaTheme="majorEastAsia" w:hAnsiTheme="minorHAnsi" w:cstheme="majorBidi"/>
      <w:color w:val="CE181E"/>
      <w:sz w:val="22"/>
      <w:lang w:eastAsia="hr-HR"/>
    </w:rPr>
  </w:style>
  <w:style w:type="paragraph" w:styleId="Heading4">
    <w:name w:val="heading 4"/>
    <w:basedOn w:val="Normal"/>
    <w:next w:val="Normal"/>
    <w:link w:val="Heading4Char"/>
    <w:uiPriority w:val="9"/>
    <w:semiHidden/>
    <w:unhideWhenUsed/>
    <w:qFormat/>
    <w:rsid w:val="00E637EC"/>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7EC"/>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7EC"/>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7EC"/>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7EC"/>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7EC"/>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7105"/>
    <w:rPr>
      <w:rFonts w:eastAsiaTheme="majorEastAsia" w:cstheme="majorBidi"/>
      <w:color w:val="CE181E"/>
      <w:kern w:val="0"/>
      <w:sz w:val="22"/>
      <w:lang w:eastAsia="hr-HR"/>
      <w14:ligatures w14:val="none"/>
    </w:rPr>
  </w:style>
  <w:style w:type="character" w:customStyle="1" w:styleId="Heading1Char">
    <w:name w:val="Heading 1 Char"/>
    <w:link w:val="Heading1"/>
    <w:uiPriority w:val="9"/>
    <w:rsid w:val="00173FE4"/>
    <w:rPr>
      <w:rFonts w:eastAsia="Times New Roman" w:cs="Times New Roman"/>
      <w:b/>
      <w:smallCaps/>
      <w:color w:val="CE181E"/>
      <w:kern w:val="0"/>
      <w:szCs w:val="32"/>
      <w14:ligatures w14:val="none"/>
    </w:rPr>
  </w:style>
  <w:style w:type="character" w:customStyle="1" w:styleId="Heading2Char">
    <w:name w:val="Heading 2 Char"/>
    <w:basedOn w:val="DefaultParagraphFont"/>
    <w:link w:val="Heading2"/>
    <w:uiPriority w:val="9"/>
    <w:rsid w:val="00907105"/>
    <w:rPr>
      <w:rFonts w:ascii="Aptos" w:eastAsiaTheme="majorEastAsia" w:hAnsi="Aptos" w:cstheme="majorBidi"/>
      <w:smallCaps/>
      <w:color w:val="CE181E"/>
      <w:kern w:val="0"/>
      <w:szCs w:val="32"/>
      <w14:ligatures w14:val="none"/>
    </w:rPr>
  </w:style>
  <w:style w:type="character" w:customStyle="1" w:styleId="Heading4Char">
    <w:name w:val="Heading 4 Char"/>
    <w:basedOn w:val="DefaultParagraphFont"/>
    <w:link w:val="Heading4"/>
    <w:uiPriority w:val="9"/>
    <w:semiHidden/>
    <w:rsid w:val="00E637EC"/>
    <w:rPr>
      <w:rFonts w:ascii="Times New Roman" w:eastAsiaTheme="majorEastAsia" w:hAnsi="Times New Roman"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E637EC"/>
    <w:rPr>
      <w:rFonts w:ascii="Times New Roman" w:eastAsiaTheme="majorEastAsia" w:hAnsi="Times New Roman"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E637EC"/>
    <w:rPr>
      <w:rFonts w:ascii="Times New Roman" w:eastAsiaTheme="majorEastAsia" w:hAnsi="Times New Roman"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E637EC"/>
    <w:rPr>
      <w:rFonts w:ascii="Times New Roman" w:eastAsiaTheme="majorEastAsia" w:hAnsi="Times New Roman"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E637EC"/>
    <w:rPr>
      <w:rFonts w:ascii="Times New Roman" w:eastAsiaTheme="majorEastAsia" w:hAnsi="Times New Roman"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E637EC"/>
    <w:rPr>
      <w:rFonts w:ascii="Times New Roman" w:eastAsiaTheme="majorEastAsia" w:hAnsi="Times New Roman" w:cstheme="majorBidi"/>
      <w:color w:val="272727" w:themeColor="text1" w:themeTint="D8"/>
      <w:kern w:val="0"/>
      <w14:ligatures w14:val="none"/>
    </w:rPr>
  </w:style>
  <w:style w:type="paragraph" w:styleId="Title">
    <w:name w:val="Title"/>
    <w:basedOn w:val="Normal"/>
    <w:next w:val="Normal"/>
    <w:link w:val="TitleChar"/>
    <w:uiPriority w:val="10"/>
    <w:qFormat/>
    <w:rsid w:val="00E637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7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7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7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7EC"/>
    <w:pPr>
      <w:spacing w:before="160"/>
      <w:jc w:val="center"/>
    </w:pPr>
    <w:rPr>
      <w:i/>
      <w:iCs/>
      <w:color w:val="404040" w:themeColor="text1" w:themeTint="BF"/>
    </w:rPr>
  </w:style>
  <w:style w:type="character" w:customStyle="1" w:styleId="QuoteChar">
    <w:name w:val="Quote Char"/>
    <w:basedOn w:val="DefaultParagraphFont"/>
    <w:link w:val="Quote"/>
    <w:uiPriority w:val="29"/>
    <w:rsid w:val="00E637EC"/>
    <w:rPr>
      <w:i/>
      <w:iCs/>
      <w:color w:val="404040" w:themeColor="text1" w:themeTint="BF"/>
    </w:rPr>
  </w:style>
  <w:style w:type="paragraph" w:styleId="ListParagraph">
    <w:name w:val="List Paragraph"/>
    <w:basedOn w:val="Normal"/>
    <w:uiPriority w:val="34"/>
    <w:qFormat/>
    <w:rsid w:val="00E637EC"/>
    <w:pPr>
      <w:ind w:left="720"/>
      <w:contextualSpacing/>
    </w:pPr>
  </w:style>
  <w:style w:type="character" w:styleId="IntenseEmphasis">
    <w:name w:val="Intense Emphasis"/>
    <w:basedOn w:val="DefaultParagraphFont"/>
    <w:uiPriority w:val="21"/>
    <w:qFormat/>
    <w:rsid w:val="00E637EC"/>
    <w:rPr>
      <w:i/>
      <w:iCs/>
      <w:color w:val="0F4761" w:themeColor="accent1" w:themeShade="BF"/>
    </w:rPr>
  </w:style>
  <w:style w:type="paragraph" w:styleId="IntenseQuote">
    <w:name w:val="Intense Quote"/>
    <w:basedOn w:val="Normal"/>
    <w:next w:val="Normal"/>
    <w:link w:val="IntenseQuoteChar"/>
    <w:uiPriority w:val="30"/>
    <w:qFormat/>
    <w:rsid w:val="00E63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7EC"/>
    <w:rPr>
      <w:i/>
      <w:iCs/>
      <w:color w:val="0F4761" w:themeColor="accent1" w:themeShade="BF"/>
    </w:rPr>
  </w:style>
  <w:style w:type="character" w:styleId="IntenseReference">
    <w:name w:val="Intense Reference"/>
    <w:basedOn w:val="DefaultParagraphFont"/>
    <w:uiPriority w:val="32"/>
    <w:qFormat/>
    <w:rsid w:val="00E637EC"/>
    <w:rPr>
      <w:b/>
      <w:bCs/>
      <w:smallCaps/>
      <w:color w:val="0F4761" w:themeColor="accent1" w:themeShade="BF"/>
      <w:spacing w:val="5"/>
    </w:rPr>
  </w:style>
  <w:style w:type="paragraph" w:customStyle="1" w:styleId="p1">
    <w:name w:val="p1"/>
    <w:basedOn w:val="Normal"/>
    <w:rsid w:val="00E637EC"/>
    <w:pPr>
      <w:spacing w:before="100" w:beforeAutospacing="1" w:after="100" w:afterAutospacing="1"/>
    </w:pPr>
  </w:style>
  <w:style w:type="character" w:customStyle="1" w:styleId="s1">
    <w:name w:val="s1"/>
    <w:basedOn w:val="DefaultParagraphFont"/>
    <w:rsid w:val="00E637EC"/>
  </w:style>
  <w:style w:type="paragraph" w:customStyle="1" w:styleId="p2">
    <w:name w:val="p2"/>
    <w:basedOn w:val="Normal"/>
    <w:rsid w:val="00E637EC"/>
    <w:pPr>
      <w:spacing w:before="100" w:beforeAutospacing="1" w:after="100" w:afterAutospacing="1"/>
    </w:pPr>
  </w:style>
  <w:style w:type="paragraph" w:customStyle="1" w:styleId="p3">
    <w:name w:val="p3"/>
    <w:basedOn w:val="Normal"/>
    <w:rsid w:val="00E637EC"/>
    <w:pPr>
      <w:spacing w:before="100" w:beforeAutospacing="1" w:after="100" w:afterAutospacing="1"/>
    </w:pPr>
  </w:style>
  <w:style w:type="character" w:customStyle="1" w:styleId="s2">
    <w:name w:val="s2"/>
    <w:basedOn w:val="DefaultParagraphFont"/>
    <w:rsid w:val="00E637EC"/>
  </w:style>
  <w:style w:type="paragraph" w:customStyle="1" w:styleId="p4">
    <w:name w:val="p4"/>
    <w:basedOn w:val="Normal"/>
    <w:rsid w:val="00E637EC"/>
    <w:pPr>
      <w:spacing w:before="100" w:beforeAutospacing="1" w:after="100" w:afterAutospacing="1"/>
    </w:pPr>
  </w:style>
  <w:style w:type="character" w:customStyle="1" w:styleId="s3">
    <w:name w:val="s3"/>
    <w:basedOn w:val="DefaultParagraphFont"/>
    <w:rsid w:val="00E637EC"/>
  </w:style>
  <w:style w:type="paragraph" w:styleId="Header">
    <w:name w:val="header"/>
    <w:basedOn w:val="Normal"/>
    <w:link w:val="HeaderChar"/>
    <w:uiPriority w:val="99"/>
    <w:unhideWhenUsed/>
    <w:rsid w:val="00E637EC"/>
    <w:pPr>
      <w:tabs>
        <w:tab w:val="center" w:pos="4680"/>
        <w:tab w:val="right" w:pos="9360"/>
      </w:tabs>
    </w:pPr>
  </w:style>
  <w:style w:type="character" w:customStyle="1" w:styleId="HeaderChar">
    <w:name w:val="Header Char"/>
    <w:basedOn w:val="DefaultParagraphFont"/>
    <w:link w:val="Header"/>
    <w:uiPriority w:val="99"/>
    <w:rsid w:val="00E637EC"/>
  </w:style>
  <w:style w:type="paragraph" w:styleId="Footer">
    <w:name w:val="footer"/>
    <w:basedOn w:val="Normal"/>
    <w:link w:val="FooterChar"/>
    <w:uiPriority w:val="99"/>
    <w:unhideWhenUsed/>
    <w:rsid w:val="00E637EC"/>
    <w:pPr>
      <w:tabs>
        <w:tab w:val="center" w:pos="4680"/>
        <w:tab w:val="right" w:pos="9360"/>
      </w:tabs>
    </w:pPr>
  </w:style>
  <w:style w:type="character" w:customStyle="1" w:styleId="FooterChar">
    <w:name w:val="Footer Char"/>
    <w:basedOn w:val="DefaultParagraphFont"/>
    <w:link w:val="Footer"/>
    <w:uiPriority w:val="99"/>
    <w:rsid w:val="00E637EC"/>
  </w:style>
  <w:style w:type="character" w:styleId="PageNumber">
    <w:name w:val="page number"/>
    <w:basedOn w:val="DefaultParagraphFont"/>
    <w:rsid w:val="00E637EC"/>
  </w:style>
  <w:style w:type="table" w:styleId="GridTable3-Accent2">
    <w:name w:val="Grid Table 3 Accent 2"/>
    <w:basedOn w:val="TableNormal"/>
    <w:uiPriority w:val="48"/>
    <w:rsid w:val="00E637EC"/>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paragraph" w:styleId="NormalWeb">
    <w:name w:val="Normal (Web)"/>
    <w:basedOn w:val="Normal"/>
    <w:uiPriority w:val="99"/>
    <w:semiHidden/>
    <w:unhideWhenUsed/>
    <w:rsid w:val="00C26EA9"/>
    <w:pPr>
      <w:spacing w:before="100" w:beforeAutospacing="1" w:after="100" w:afterAutospacing="1"/>
    </w:pPr>
  </w:style>
  <w:style w:type="character" w:styleId="Strong">
    <w:name w:val="Strong"/>
    <w:basedOn w:val="DefaultParagraphFont"/>
    <w:uiPriority w:val="22"/>
    <w:qFormat/>
    <w:rsid w:val="00C26EA9"/>
    <w:rPr>
      <w:b/>
      <w:bCs/>
    </w:rPr>
  </w:style>
  <w:style w:type="character" w:customStyle="1" w:styleId="apple-converted-space">
    <w:name w:val="apple-converted-space"/>
    <w:basedOn w:val="DefaultParagraphFont"/>
    <w:rsid w:val="00C26EA9"/>
  </w:style>
  <w:style w:type="table" w:styleId="TableGrid">
    <w:name w:val="Table Grid"/>
    <w:basedOn w:val="TableNormal"/>
    <w:uiPriority w:val="39"/>
    <w:rsid w:val="00D06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34D49"/>
    <w:rPr>
      <w:sz w:val="20"/>
      <w:szCs w:val="20"/>
    </w:rPr>
  </w:style>
  <w:style w:type="character" w:customStyle="1" w:styleId="FootnoteTextChar">
    <w:name w:val="Footnote Text Char"/>
    <w:basedOn w:val="DefaultParagraphFont"/>
    <w:link w:val="FootnoteText"/>
    <w:uiPriority w:val="99"/>
    <w:semiHidden/>
    <w:rsid w:val="00A34D49"/>
    <w:rPr>
      <w:sz w:val="20"/>
      <w:szCs w:val="20"/>
    </w:rPr>
  </w:style>
  <w:style w:type="character" w:styleId="FootnoteReference">
    <w:name w:val="footnote reference"/>
    <w:basedOn w:val="DefaultParagraphFont"/>
    <w:uiPriority w:val="99"/>
    <w:semiHidden/>
    <w:unhideWhenUsed/>
    <w:rsid w:val="00A34D49"/>
    <w:rPr>
      <w:vertAlign w:val="superscript"/>
    </w:rPr>
  </w:style>
  <w:style w:type="paragraph" w:styleId="Caption">
    <w:name w:val="caption"/>
    <w:basedOn w:val="Normal"/>
    <w:next w:val="Normal"/>
    <w:uiPriority w:val="35"/>
    <w:unhideWhenUsed/>
    <w:qFormat/>
    <w:rsid w:val="00566C5C"/>
    <w:pPr>
      <w:spacing w:after="200"/>
    </w:pPr>
    <w:rPr>
      <w:i/>
      <w:iCs/>
      <w:color w:val="0E2841" w:themeColor="text2"/>
      <w:sz w:val="18"/>
      <w:szCs w:val="18"/>
    </w:rPr>
  </w:style>
  <w:style w:type="table" w:styleId="GridTable2-Accent2">
    <w:name w:val="Grid Table 2 Accent 2"/>
    <w:basedOn w:val="TableNormal"/>
    <w:uiPriority w:val="47"/>
    <w:rsid w:val="00B37BFD"/>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numbering" w:customStyle="1" w:styleId="CurrentList1">
    <w:name w:val="Current List1"/>
    <w:uiPriority w:val="99"/>
    <w:rsid w:val="00AC683A"/>
    <w:pPr>
      <w:numPr>
        <w:numId w:val="2"/>
      </w:numPr>
    </w:pPr>
  </w:style>
  <w:style w:type="table" w:styleId="GridTable4-Accent2">
    <w:name w:val="Grid Table 4 Accent 2"/>
    <w:basedOn w:val="TableNormal"/>
    <w:uiPriority w:val="49"/>
    <w:rsid w:val="00173FE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D7CF7-63AF-BD43-B29F-34DFADA30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622</Words>
  <Characters>3822</Characters>
  <Application>Microsoft Office Word</Application>
  <DocSecurity>0</DocSecurity>
  <Lines>318</Lines>
  <Paragraphs>185</Paragraphs>
  <ScaleCrop>false</ScaleCrop>
  <HeadingPairs>
    <vt:vector size="2" baseType="variant">
      <vt:variant>
        <vt:lpstr>Title</vt:lpstr>
      </vt:variant>
      <vt:variant>
        <vt:i4>1</vt:i4>
      </vt:variant>
    </vt:vector>
  </HeadingPairs>
  <TitlesOfParts>
    <vt:vector size="1" baseType="lpstr">
      <vt:lpstr/>
    </vt:vector>
  </TitlesOfParts>
  <Company>AP</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Identifikacija aspekata okoliša i usklađenost s propisima</dc:title>
  <dc:subject>Postupak identifikacije i vrednovanja aspekata okoliša te upravljanja obvezama usklađenosti (ISO 14001, t. 6.1.2, 6.1.3, 9.1.2)</dc:subject>
  <dc:creator>Daniel Bara</dc:creator>
  <cp:keywords>PROC-IMS-07</cp:keywords>
  <dc:description>Izdanje 1.1 od 25.09.2026.</dc:description>
  <cp:lastModifiedBy>Daniel Bara</cp:lastModifiedBy>
  <cp:revision>7</cp:revision>
  <dcterms:created xsi:type="dcterms:W3CDTF">2025-11-29T18:38:00Z</dcterms:created>
  <dcterms:modified xsi:type="dcterms:W3CDTF">2026-09-25T10:00:00Z</dcterms:modified>
  <cp:version>1.1</cp:version>
</cp:coreProperties>
</file>